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FC" w:rsidRDefault="006125FC">
      <w:pPr>
        <w:pStyle w:val="DefaultText"/>
      </w:pPr>
      <w:r>
        <w:rPr>
          <w:b/>
          <w:u w:val="single"/>
        </w:rPr>
        <w:t xml:space="preserve">Minutes of the </w:t>
      </w:r>
      <w:r w:rsidR="00932115">
        <w:rPr>
          <w:b/>
          <w:u w:val="single"/>
        </w:rPr>
        <w:t xml:space="preserve">Annual </w:t>
      </w:r>
      <w:r>
        <w:rPr>
          <w:b/>
          <w:u w:val="single"/>
        </w:rPr>
        <w:t>Meeting of Upton with Fi</w:t>
      </w:r>
      <w:r w:rsidR="00DF2B26">
        <w:rPr>
          <w:b/>
          <w:u w:val="single"/>
        </w:rPr>
        <w:t>shley Parish Council held on Thurs</w:t>
      </w:r>
      <w:r w:rsidR="00932115">
        <w:rPr>
          <w:b/>
          <w:u w:val="single"/>
        </w:rPr>
        <w:t>day, 14th May</w:t>
      </w:r>
      <w:r w:rsidR="00027724">
        <w:rPr>
          <w:b/>
          <w:u w:val="single"/>
        </w:rPr>
        <w:t xml:space="preserve"> </w:t>
      </w:r>
      <w:r w:rsidR="006E6D7A">
        <w:rPr>
          <w:b/>
          <w:u w:val="single"/>
        </w:rPr>
        <w:t>2015</w:t>
      </w:r>
      <w:r>
        <w:rPr>
          <w:b/>
          <w:u w:val="single"/>
        </w:rPr>
        <w:t xml:space="preserve"> in the Village Hall</w:t>
      </w:r>
    </w:p>
    <w:p w:rsidR="00631328" w:rsidRDefault="00631328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</w:pPr>
      <w:r>
        <w:rPr>
          <w:b/>
          <w:u w:val="single"/>
        </w:rPr>
        <w:t>Present:</w:t>
      </w:r>
    </w:p>
    <w:p w:rsidR="005F2D98" w:rsidRDefault="001A67EE" w:rsidP="00E6637F">
      <w:pPr>
        <w:pStyle w:val="DefaultText"/>
      </w:pPr>
      <w:r>
        <w:t xml:space="preserve">Nicholas Crane </w:t>
      </w:r>
      <w:r>
        <w:tab/>
        <w:t xml:space="preserve">Philip </w:t>
      </w:r>
      <w:r w:rsidR="00BC5CF4">
        <w:t>Armes</w:t>
      </w:r>
      <w:r w:rsidR="00BC5CF4">
        <w:tab/>
      </w:r>
      <w:r w:rsidR="00BC5CF4">
        <w:tab/>
      </w:r>
      <w:r>
        <w:t xml:space="preserve">Anne </w:t>
      </w:r>
      <w:r w:rsidR="006125FC">
        <w:t>Whelpton</w:t>
      </w:r>
      <w:r w:rsidR="00C91CC1">
        <w:tab/>
      </w:r>
      <w:r w:rsidR="00C91CC1">
        <w:tab/>
      </w:r>
    </w:p>
    <w:p w:rsidR="007C578C" w:rsidRDefault="001A67EE" w:rsidP="00E6637F">
      <w:pPr>
        <w:pStyle w:val="DefaultText"/>
      </w:pPr>
      <w:r>
        <w:t xml:space="preserve">Ginny </w:t>
      </w:r>
      <w:r w:rsidR="007C578C">
        <w:t>Pitchers</w:t>
      </w:r>
      <w:r w:rsidR="001A7E78">
        <w:tab/>
      </w:r>
      <w:r>
        <w:tab/>
        <w:t>Debbie Durrant</w:t>
      </w:r>
      <w:r>
        <w:tab/>
        <w:t>Mike</w:t>
      </w:r>
      <w:r w:rsidR="001A7E78">
        <w:t xml:space="preserve"> Brown</w:t>
      </w:r>
    </w:p>
    <w:p w:rsidR="00932115" w:rsidRDefault="001A67EE" w:rsidP="00E6637F">
      <w:pPr>
        <w:pStyle w:val="DefaultText"/>
      </w:pPr>
      <w:r>
        <w:t xml:space="preserve">Nigel </w:t>
      </w:r>
      <w:r w:rsidR="00932115">
        <w:t>Brennan</w:t>
      </w:r>
    </w:p>
    <w:p w:rsidR="00631328" w:rsidRDefault="00204321" w:rsidP="00E6637F">
      <w:pPr>
        <w:pStyle w:val="DefaultText"/>
      </w:pPr>
      <w:r>
        <w:t>Parish clerk Pauline James</w:t>
      </w:r>
    </w:p>
    <w:p w:rsidR="00204321" w:rsidRDefault="00204321" w:rsidP="00E6637F">
      <w:pPr>
        <w:pStyle w:val="DefaultText"/>
      </w:pPr>
    </w:p>
    <w:p w:rsidR="00631328" w:rsidRDefault="00204321" w:rsidP="00631328">
      <w:pPr>
        <w:pStyle w:val="DefaultText"/>
      </w:pPr>
      <w:r>
        <w:t xml:space="preserve">There were two </w:t>
      </w:r>
      <w:r w:rsidR="00631328">
        <w:t xml:space="preserve">members of the public present. </w:t>
      </w:r>
    </w:p>
    <w:p w:rsidR="00C10698" w:rsidRPr="00631328" w:rsidRDefault="00204321" w:rsidP="00631328">
      <w:pPr>
        <w:pStyle w:val="DefaultText"/>
      </w:pPr>
      <w:r>
        <w:t xml:space="preserve">The new district councillors, </w:t>
      </w:r>
      <w:r w:rsidR="00C10698">
        <w:t>Frank O’Neill and Chris Harrison</w:t>
      </w:r>
      <w:r>
        <w:t>, introduced themselves.</w:t>
      </w:r>
    </w:p>
    <w:p w:rsidR="006125FC" w:rsidRDefault="006125FC">
      <w:pPr>
        <w:pStyle w:val="DefaultText"/>
      </w:pPr>
    </w:p>
    <w:p w:rsidR="00932115" w:rsidRPr="00932115" w:rsidRDefault="00932115">
      <w:pPr>
        <w:pStyle w:val="DefaultText"/>
        <w:rPr>
          <w:b/>
          <w:u w:val="single"/>
        </w:rPr>
      </w:pPr>
      <w:r w:rsidRPr="00932115">
        <w:rPr>
          <w:b/>
          <w:u w:val="single"/>
        </w:rPr>
        <w:t>Election of Chairman and Vice-Chairman:</w:t>
      </w:r>
    </w:p>
    <w:p w:rsidR="00932115" w:rsidRDefault="00204321">
      <w:pPr>
        <w:pStyle w:val="DefaultText"/>
      </w:pPr>
      <w:r>
        <w:t xml:space="preserve">Nicholas Crane invited nominations for Chairman of the Parish Council. Philip Armes was elected </w:t>
      </w:r>
      <w:r w:rsidR="001A67EE">
        <w:t xml:space="preserve">Chairman unanimously and </w:t>
      </w:r>
      <w:r>
        <w:t xml:space="preserve">signed a Declaration of Acceptance of Office as Chairman of the Parish Council.  </w:t>
      </w:r>
      <w:r w:rsidR="00B869DE">
        <w:t>Debbie Durrant was elected as Vice-Chairman unanimously.</w:t>
      </w:r>
    </w:p>
    <w:p w:rsidR="00204321" w:rsidRDefault="00204321">
      <w:pPr>
        <w:pStyle w:val="DefaultText"/>
      </w:pPr>
    </w:p>
    <w:p w:rsidR="00204321" w:rsidRDefault="00204321">
      <w:pPr>
        <w:pStyle w:val="DefaultText"/>
      </w:pPr>
      <w:r>
        <w:t>Nicholas Crane had not stood for re-election as a councillor and was thanked by the councillors for his time on the Council and then left the meeting at this point.</w:t>
      </w:r>
    </w:p>
    <w:p w:rsidR="00204321" w:rsidRDefault="00204321">
      <w:pPr>
        <w:pStyle w:val="DefaultText"/>
      </w:pPr>
    </w:p>
    <w:p w:rsidR="00932115" w:rsidRDefault="00204321">
      <w:pPr>
        <w:pStyle w:val="DefaultText"/>
      </w:pPr>
      <w:r>
        <w:t xml:space="preserve">The seven people who stood for election were Philip Armes, </w:t>
      </w:r>
      <w:r w:rsidR="00C10698">
        <w:t>Nigel Brennan</w:t>
      </w:r>
      <w:r>
        <w:t>, Mike Brown, Debbie Durrant, William Leonard-Morgan, Ginny Pitchers and Anne Whelpton.  Nigel Brennan was welcomed to the Parish Council.  All the councillors had signed a Declaration of Acceptance of Office before the meeting started.  Those councillors present also completed Register of Interests forms and Election Expenses forms.</w:t>
      </w:r>
    </w:p>
    <w:p w:rsidR="00932115" w:rsidRDefault="00932115">
      <w:pPr>
        <w:pStyle w:val="DefaultText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Apologies:</w:t>
      </w:r>
    </w:p>
    <w:p w:rsidR="00932115" w:rsidRDefault="001A67EE">
      <w:pPr>
        <w:pStyle w:val="DefaultText"/>
      </w:pPr>
      <w:r>
        <w:t xml:space="preserve">William </w:t>
      </w:r>
      <w:r w:rsidR="00932115">
        <w:t>Leonard-Morgan</w:t>
      </w:r>
    </w:p>
    <w:p w:rsidR="005A2921" w:rsidRDefault="005F2D98">
      <w:pPr>
        <w:pStyle w:val="DefaultText"/>
      </w:pPr>
      <w:r>
        <w:t>PCSO Paul McAllister</w:t>
      </w:r>
      <w:r w:rsidR="00932115">
        <w:t xml:space="preserve"> and PC Ian Kennedy</w:t>
      </w:r>
    </w:p>
    <w:p w:rsidR="005A2921" w:rsidRPr="00E16BFF" w:rsidRDefault="005A2921">
      <w:pPr>
        <w:pStyle w:val="DefaultText"/>
      </w:pPr>
    </w:p>
    <w:p w:rsidR="006125FC" w:rsidRDefault="006125FC">
      <w:pPr>
        <w:pStyle w:val="DefaultText"/>
      </w:pPr>
      <w:r>
        <w:rPr>
          <w:b/>
          <w:u w:val="single"/>
        </w:rPr>
        <w:t>Declarations of Interests in Items on the Agenda</w:t>
      </w:r>
      <w:r w:rsidR="001A7E78">
        <w:rPr>
          <w:b/>
          <w:u w:val="single"/>
        </w:rPr>
        <w:t xml:space="preserve"> and Requests for Dispensations</w:t>
      </w:r>
      <w:r>
        <w:rPr>
          <w:b/>
          <w:u w:val="single"/>
        </w:rPr>
        <w:t>:</w:t>
      </w:r>
    </w:p>
    <w:p w:rsidR="004D7BB7" w:rsidRDefault="00B9232F" w:rsidP="00B9232F">
      <w:pPr>
        <w:pStyle w:val="DefaultText"/>
      </w:pPr>
      <w:r>
        <w:t xml:space="preserve">Anne Whelpton </w:t>
      </w:r>
      <w:r w:rsidR="00932115">
        <w:t xml:space="preserve">and Debbie Durrant </w:t>
      </w:r>
      <w:r>
        <w:t>reminded councillors of</w:t>
      </w:r>
      <w:r w:rsidR="00932115">
        <w:t xml:space="preserve"> their</w:t>
      </w:r>
      <w:r w:rsidR="005F2D98">
        <w:t xml:space="preserve"> interest</w:t>
      </w:r>
      <w:r w:rsidR="00932115">
        <w:t>s</w:t>
      </w:r>
      <w:r w:rsidR="005F2D98">
        <w:t xml:space="preserve"> in the boat dyke.  </w:t>
      </w:r>
      <w:r w:rsidR="00204321">
        <w:t xml:space="preserve">Debbie Durrant, </w:t>
      </w:r>
      <w:r w:rsidR="00DE4E8A">
        <w:t xml:space="preserve">Mike Brown </w:t>
      </w:r>
      <w:r w:rsidR="00204321">
        <w:t xml:space="preserve">and Anne Whelpton </w:t>
      </w:r>
      <w:r>
        <w:t>r</w:t>
      </w:r>
      <w:r w:rsidR="005F2D98">
        <w:t xml:space="preserve">eminded the meeting that </w:t>
      </w:r>
      <w:r w:rsidR="00932115">
        <w:t>t</w:t>
      </w:r>
      <w:r w:rsidR="005F2D98">
        <w:t>he</w:t>
      </w:r>
      <w:r w:rsidR="00932115">
        <w:t>y</w:t>
      </w:r>
      <w:r w:rsidR="0004337F">
        <w:t xml:space="preserve"> </w:t>
      </w:r>
      <w:r w:rsidR="00932115">
        <w:t>have</w:t>
      </w:r>
      <w:r>
        <w:t xml:space="preserve"> sha</w:t>
      </w:r>
      <w:r w:rsidR="0004337F">
        <w:t>res in The White Horse pub.</w:t>
      </w:r>
      <w:r w:rsidR="00204321">
        <w:t xml:space="preserve"> Ginny Pitchers declared an interest in the </w:t>
      </w:r>
      <w:r w:rsidR="004D7BB7">
        <w:t>planning</w:t>
      </w:r>
      <w:r w:rsidR="00204321">
        <w:t xml:space="preserve"> application</w:t>
      </w:r>
      <w:r w:rsidR="001A67EE">
        <w:t xml:space="preserve"> at 32 The Green</w:t>
      </w:r>
      <w:r w:rsidR="00204321">
        <w:t xml:space="preserve"> as she is a near neighbour.</w:t>
      </w: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</w:pPr>
      <w:r>
        <w:rPr>
          <w:b/>
          <w:u w:val="single"/>
        </w:rPr>
        <w:t>Minutes:</w:t>
      </w:r>
    </w:p>
    <w:p w:rsidR="006125FC" w:rsidRDefault="006125FC">
      <w:pPr>
        <w:pStyle w:val="DefaultText"/>
      </w:pPr>
      <w:r>
        <w:t>The minutes of the Parish Council me</w:t>
      </w:r>
      <w:r w:rsidR="00204321">
        <w:t>eting</w:t>
      </w:r>
      <w:r w:rsidR="00290C07">
        <w:t xml:space="preserve"> held on 9</w:t>
      </w:r>
      <w:r w:rsidR="00D0712F" w:rsidRPr="00D0712F">
        <w:rPr>
          <w:vertAlign w:val="superscript"/>
        </w:rPr>
        <w:t>th</w:t>
      </w:r>
      <w:r w:rsidR="00290C07">
        <w:t xml:space="preserve"> April</w:t>
      </w:r>
      <w:r w:rsidR="00E72782">
        <w:t xml:space="preserve"> </w:t>
      </w:r>
      <w:r w:rsidR="00DE4E8A">
        <w:t>2015</w:t>
      </w:r>
      <w:r w:rsidR="00F86051">
        <w:t xml:space="preserve"> </w:t>
      </w:r>
      <w:r>
        <w:t>were agreed to be correct, and were signed by</w:t>
      </w:r>
      <w:r w:rsidR="00204321">
        <w:t xml:space="preserve"> Philip Armes</w:t>
      </w:r>
      <w:r w:rsidR="00DF2B26">
        <w:t>, as Chairman of the Parish Co</w:t>
      </w:r>
      <w:r>
        <w:t>uncil.</w:t>
      </w:r>
    </w:p>
    <w:p w:rsidR="006125FC" w:rsidRDefault="006125FC">
      <w:pPr>
        <w:pStyle w:val="DefaultText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Matters Arising:</w:t>
      </w:r>
    </w:p>
    <w:p w:rsidR="006125FC" w:rsidRDefault="00C10698" w:rsidP="00E764B7">
      <w:pPr>
        <w:pStyle w:val="DefaultText"/>
        <w:numPr>
          <w:ilvl w:val="0"/>
          <w:numId w:val="8"/>
        </w:numPr>
        <w:ind w:left="426" w:hanging="426"/>
      </w:pPr>
      <w:r>
        <w:t>Letters of thanks have been received from the Citizens Advice Bureau and AgeUK for the recent donations.</w:t>
      </w:r>
    </w:p>
    <w:p w:rsidR="00C10698" w:rsidRDefault="00C10698" w:rsidP="00C10698">
      <w:pPr>
        <w:pStyle w:val="DefaultText"/>
      </w:pPr>
    </w:p>
    <w:p w:rsidR="00C10698" w:rsidRDefault="00C10698" w:rsidP="00E764B7">
      <w:pPr>
        <w:pStyle w:val="DefaultText"/>
        <w:numPr>
          <w:ilvl w:val="0"/>
          <w:numId w:val="8"/>
        </w:numPr>
        <w:ind w:left="426" w:hanging="426"/>
      </w:pPr>
      <w:r>
        <w:t xml:space="preserve">Mike </w:t>
      </w:r>
      <w:r w:rsidR="0082104E">
        <w:t>Brown was thanked for repairing</w:t>
      </w:r>
      <w:r>
        <w:t xml:space="preserve"> </w:t>
      </w:r>
      <w:r w:rsidR="00204321">
        <w:t xml:space="preserve">the </w:t>
      </w:r>
      <w:r w:rsidR="0082104E">
        <w:t>back</w:t>
      </w:r>
      <w:r>
        <w:t>board of noticeboard at Southend</w:t>
      </w:r>
      <w:r w:rsidR="0082104E">
        <w:t>.</w:t>
      </w:r>
    </w:p>
    <w:p w:rsidR="00C10698" w:rsidRDefault="00C10698" w:rsidP="00C10698">
      <w:pPr>
        <w:pStyle w:val="ListParagraph"/>
      </w:pPr>
    </w:p>
    <w:p w:rsidR="00C10698" w:rsidRPr="0082104E" w:rsidRDefault="0082104E" w:rsidP="00E764B7">
      <w:pPr>
        <w:pStyle w:val="DefaultText"/>
        <w:numPr>
          <w:ilvl w:val="0"/>
          <w:numId w:val="8"/>
        </w:numPr>
        <w:ind w:left="426" w:hanging="426"/>
        <w:rPr>
          <w:b/>
          <w:u w:val="single"/>
        </w:rPr>
      </w:pPr>
      <w:r>
        <w:lastRenderedPageBreak/>
        <w:t>Ginny Pitchers reported that several residents had offered to collect litter on a voluntary basis.</w:t>
      </w:r>
    </w:p>
    <w:p w:rsidR="0082104E" w:rsidRDefault="0082104E" w:rsidP="0082104E">
      <w:pPr>
        <w:pStyle w:val="ListParagraph"/>
        <w:rPr>
          <w:b/>
          <w:u w:val="single"/>
        </w:rPr>
      </w:pPr>
    </w:p>
    <w:p w:rsidR="00C10698" w:rsidRPr="0082104E" w:rsidRDefault="0082104E" w:rsidP="00E764B7">
      <w:pPr>
        <w:pStyle w:val="DefaultText"/>
        <w:numPr>
          <w:ilvl w:val="0"/>
          <w:numId w:val="8"/>
        </w:numPr>
        <w:ind w:left="426" w:hanging="426"/>
        <w:rPr>
          <w:b/>
          <w:u w:val="single"/>
        </w:rPr>
      </w:pPr>
      <w:r>
        <w:t>Further details are awaited for the proposed wildflower area at the churchyard.</w:t>
      </w:r>
    </w:p>
    <w:p w:rsidR="00C10698" w:rsidRDefault="00C10698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Correspondence:</w:t>
      </w:r>
    </w:p>
    <w:p w:rsidR="0082104E" w:rsidRDefault="0082104E" w:rsidP="00E764B7">
      <w:pPr>
        <w:pStyle w:val="DefaultText"/>
        <w:numPr>
          <w:ilvl w:val="0"/>
          <w:numId w:val="9"/>
        </w:numPr>
        <w:ind w:left="426" w:hanging="426"/>
      </w:pPr>
      <w:r>
        <w:t xml:space="preserve">The </w:t>
      </w:r>
      <w:r w:rsidR="00C10698">
        <w:t xml:space="preserve">Insurance </w:t>
      </w:r>
      <w:r>
        <w:t xml:space="preserve">is due for </w:t>
      </w:r>
      <w:r w:rsidR="00C10698">
        <w:t>renewal</w:t>
      </w:r>
      <w:r>
        <w:t>. Two quotes are awaited. The clerk was authorised to pay the insurance premium for the lower quote.</w:t>
      </w:r>
    </w:p>
    <w:p w:rsidR="0082104E" w:rsidRPr="00C10698" w:rsidRDefault="0082104E" w:rsidP="0082104E">
      <w:pPr>
        <w:pStyle w:val="DefaultText"/>
      </w:pPr>
    </w:p>
    <w:tbl>
      <w:tblPr>
        <w:tblW w:w="0" w:type="auto"/>
        <w:tblLook w:val="04A0"/>
      </w:tblPr>
      <w:tblGrid>
        <w:gridCol w:w="4788"/>
        <w:gridCol w:w="1296"/>
      </w:tblGrid>
      <w:tr w:rsidR="00BF3B29" w:rsidRPr="003377A8" w:rsidTr="00290C07">
        <w:tc>
          <w:tcPr>
            <w:tcW w:w="4788" w:type="dxa"/>
          </w:tcPr>
          <w:p w:rsidR="00BF3B29" w:rsidRPr="003377A8" w:rsidRDefault="00BF3B29">
            <w:pPr>
              <w:pStyle w:val="DefaultText"/>
              <w:rPr>
                <w:b/>
                <w:u w:val="single"/>
              </w:rPr>
            </w:pPr>
            <w:r w:rsidRPr="003377A8">
              <w:rPr>
                <w:b/>
                <w:u w:val="single"/>
              </w:rPr>
              <w:t>Treasurer’s Report:</w:t>
            </w:r>
          </w:p>
        </w:tc>
        <w:tc>
          <w:tcPr>
            <w:tcW w:w="1296" w:type="dxa"/>
          </w:tcPr>
          <w:p w:rsidR="00BF3B29" w:rsidRPr="00BF3B29" w:rsidRDefault="00BF3B29" w:rsidP="003377A8">
            <w:pPr>
              <w:pStyle w:val="DefaultText"/>
              <w:jc w:val="right"/>
            </w:pPr>
            <w:r>
              <w:t>£</w:t>
            </w:r>
          </w:p>
        </w:tc>
      </w:tr>
      <w:tr w:rsidR="00BF3B29" w:rsidRPr="003377A8" w:rsidTr="00290C07">
        <w:tc>
          <w:tcPr>
            <w:tcW w:w="4788" w:type="dxa"/>
          </w:tcPr>
          <w:p w:rsidR="00BF3B29" w:rsidRPr="00BF3B29" w:rsidRDefault="00290C07">
            <w:pPr>
              <w:pStyle w:val="DefaultText"/>
            </w:pPr>
            <w:r>
              <w:t>Balance b/f at 9</w:t>
            </w:r>
            <w:r w:rsidR="00BF3B29" w:rsidRPr="003377A8">
              <w:rPr>
                <w:vertAlign w:val="superscript"/>
              </w:rPr>
              <w:t>th</w:t>
            </w:r>
            <w:r>
              <w:t xml:space="preserve"> April</w:t>
            </w:r>
            <w:r w:rsidR="00BF3B29">
              <w:t xml:space="preserve"> 201</w:t>
            </w:r>
            <w:r w:rsidR="00DE4E8A">
              <w:t>5</w:t>
            </w:r>
          </w:p>
        </w:tc>
        <w:tc>
          <w:tcPr>
            <w:tcW w:w="1296" w:type="dxa"/>
          </w:tcPr>
          <w:p w:rsidR="00FB01D5" w:rsidRPr="00BF3B29" w:rsidRDefault="00FB01D5" w:rsidP="00FB01D5">
            <w:pPr>
              <w:pStyle w:val="DefaultText"/>
              <w:jc w:val="right"/>
            </w:pPr>
            <w:r>
              <w:t>2,623.81</w:t>
            </w:r>
          </w:p>
        </w:tc>
      </w:tr>
      <w:tr w:rsidR="00E00F5F" w:rsidRPr="003377A8" w:rsidTr="00290C07">
        <w:tc>
          <w:tcPr>
            <w:tcW w:w="4788" w:type="dxa"/>
          </w:tcPr>
          <w:p w:rsidR="00E00F5F" w:rsidRDefault="00E00F5F">
            <w:pPr>
              <w:pStyle w:val="DefaultText"/>
            </w:pPr>
            <w:r>
              <w:t>VAT payable</w:t>
            </w:r>
          </w:p>
        </w:tc>
        <w:tc>
          <w:tcPr>
            <w:tcW w:w="1296" w:type="dxa"/>
          </w:tcPr>
          <w:p w:rsidR="00E00F5F" w:rsidRDefault="00E00F5F" w:rsidP="00E00F5F">
            <w:pPr>
              <w:pStyle w:val="DefaultText"/>
              <w:jc w:val="right"/>
            </w:pPr>
            <w:r>
              <w:t>-316.69</w:t>
            </w:r>
          </w:p>
        </w:tc>
      </w:tr>
      <w:tr w:rsidR="00E00F5F" w:rsidRPr="003377A8" w:rsidTr="00290C07">
        <w:tc>
          <w:tcPr>
            <w:tcW w:w="4788" w:type="dxa"/>
          </w:tcPr>
          <w:p w:rsidR="00E00F5F" w:rsidRDefault="00E00F5F">
            <w:pPr>
              <w:pStyle w:val="DefaultText"/>
            </w:pPr>
            <w:r>
              <w:t>Transfer to Repairs Account</w:t>
            </w:r>
          </w:p>
        </w:tc>
        <w:tc>
          <w:tcPr>
            <w:tcW w:w="1296" w:type="dxa"/>
          </w:tcPr>
          <w:p w:rsidR="00E00F5F" w:rsidRDefault="00E00F5F" w:rsidP="00E00F5F">
            <w:pPr>
              <w:pStyle w:val="DefaultText"/>
              <w:jc w:val="right"/>
            </w:pPr>
            <w:r>
              <w:t>-6,055.00</w:t>
            </w:r>
          </w:p>
        </w:tc>
      </w:tr>
      <w:tr w:rsidR="00E00F5F" w:rsidRPr="003377A8" w:rsidTr="00290C07">
        <w:tc>
          <w:tcPr>
            <w:tcW w:w="4788" w:type="dxa"/>
          </w:tcPr>
          <w:p w:rsidR="00E00F5F" w:rsidRDefault="00E00F5F">
            <w:pPr>
              <w:pStyle w:val="DefaultText"/>
            </w:pPr>
            <w:r>
              <w:t>Transfer to Savings Account</w:t>
            </w:r>
          </w:p>
        </w:tc>
        <w:tc>
          <w:tcPr>
            <w:tcW w:w="1296" w:type="dxa"/>
          </w:tcPr>
          <w:p w:rsidR="00E00F5F" w:rsidRDefault="00E00F5F" w:rsidP="00E00F5F">
            <w:pPr>
              <w:pStyle w:val="DefaultText"/>
              <w:jc w:val="right"/>
            </w:pPr>
            <w:r>
              <w:t>-7,945.00</w:t>
            </w:r>
          </w:p>
        </w:tc>
      </w:tr>
      <w:tr w:rsidR="00BF3B29" w:rsidRPr="003377A8" w:rsidTr="00290C07">
        <w:tc>
          <w:tcPr>
            <w:tcW w:w="4788" w:type="dxa"/>
          </w:tcPr>
          <w:p w:rsidR="00BF3B29" w:rsidRPr="003377A8" w:rsidRDefault="00BF3B29">
            <w:pPr>
              <w:pStyle w:val="DefaultText"/>
              <w:rPr>
                <w:b/>
              </w:rPr>
            </w:pPr>
            <w:r w:rsidRPr="003377A8">
              <w:rPr>
                <w:b/>
              </w:rPr>
              <w:t>Receipts:</w:t>
            </w:r>
          </w:p>
        </w:tc>
        <w:tc>
          <w:tcPr>
            <w:tcW w:w="1296" w:type="dxa"/>
          </w:tcPr>
          <w:p w:rsidR="00BF3B29" w:rsidRPr="003377A8" w:rsidRDefault="00BF3B29" w:rsidP="003377A8">
            <w:pPr>
              <w:pStyle w:val="DefaultText"/>
              <w:jc w:val="right"/>
              <w:rPr>
                <w:b/>
                <w:u w:val="single"/>
              </w:rPr>
            </w:pPr>
          </w:p>
        </w:tc>
      </w:tr>
      <w:tr w:rsidR="00BF3B29" w:rsidRPr="003377A8" w:rsidTr="00290C07">
        <w:tc>
          <w:tcPr>
            <w:tcW w:w="4788" w:type="dxa"/>
          </w:tcPr>
          <w:p w:rsidR="00BF3B29" w:rsidRPr="00BF3B29" w:rsidRDefault="00BF3B29">
            <w:pPr>
              <w:pStyle w:val="DefaultText"/>
            </w:pPr>
            <w:r>
              <w:t>Mooring fees</w:t>
            </w:r>
          </w:p>
        </w:tc>
        <w:tc>
          <w:tcPr>
            <w:tcW w:w="1296" w:type="dxa"/>
          </w:tcPr>
          <w:p w:rsidR="00E00F5F" w:rsidRPr="00BF3B29" w:rsidRDefault="00E00F5F" w:rsidP="00E00F5F">
            <w:pPr>
              <w:pStyle w:val="DefaultText"/>
              <w:jc w:val="right"/>
            </w:pPr>
            <w:r>
              <w:t>10,476.00</w:t>
            </w:r>
          </w:p>
        </w:tc>
      </w:tr>
      <w:tr w:rsidR="00BF3B29" w:rsidRPr="003377A8" w:rsidTr="00290C07">
        <w:tc>
          <w:tcPr>
            <w:tcW w:w="4788" w:type="dxa"/>
          </w:tcPr>
          <w:p w:rsidR="00BF3B29" w:rsidRPr="00BF3B29" w:rsidRDefault="00BF3B29">
            <w:pPr>
              <w:pStyle w:val="DefaultText"/>
            </w:pPr>
            <w:r w:rsidRPr="00BF3B29">
              <w:t>Grazing fee</w:t>
            </w:r>
            <w:r>
              <w:t xml:space="preserve"> </w:t>
            </w:r>
          </w:p>
        </w:tc>
        <w:tc>
          <w:tcPr>
            <w:tcW w:w="1296" w:type="dxa"/>
          </w:tcPr>
          <w:p w:rsidR="00BF3B29" w:rsidRPr="00BF3B29" w:rsidRDefault="00E00F5F" w:rsidP="003377A8">
            <w:pPr>
              <w:pStyle w:val="DefaultText"/>
              <w:jc w:val="right"/>
            </w:pPr>
            <w:r>
              <w:t>90.00</w:t>
            </w:r>
          </w:p>
        </w:tc>
      </w:tr>
      <w:tr w:rsidR="00BF3B29" w:rsidRPr="003377A8" w:rsidTr="00290C07">
        <w:tc>
          <w:tcPr>
            <w:tcW w:w="4788" w:type="dxa"/>
          </w:tcPr>
          <w:p w:rsidR="00BF3B29" w:rsidRPr="00BF3B29" w:rsidRDefault="00E00F5F">
            <w:pPr>
              <w:pStyle w:val="DefaultText"/>
            </w:pPr>
            <w:r>
              <w:t>1</w:t>
            </w:r>
            <w:r w:rsidRPr="00E00F5F">
              <w:rPr>
                <w:vertAlign w:val="superscript"/>
              </w:rPr>
              <w:t>st</w:t>
            </w:r>
            <w:r>
              <w:t xml:space="preserve"> half precept</w:t>
            </w:r>
          </w:p>
        </w:tc>
        <w:tc>
          <w:tcPr>
            <w:tcW w:w="1296" w:type="dxa"/>
          </w:tcPr>
          <w:p w:rsidR="00BF3B29" w:rsidRPr="00BF3B29" w:rsidRDefault="00E00F5F" w:rsidP="003377A8">
            <w:pPr>
              <w:pStyle w:val="DefaultText"/>
              <w:jc w:val="right"/>
            </w:pPr>
            <w:r>
              <w:t>3</w:t>
            </w:r>
            <w:r w:rsidR="00963067">
              <w:t>,</w:t>
            </w:r>
            <w:r>
              <w:t>500.00</w:t>
            </w:r>
          </w:p>
        </w:tc>
      </w:tr>
      <w:tr w:rsidR="00BF3B29" w:rsidRPr="003377A8" w:rsidTr="00290C07">
        <w:tc>
          <w:tcPr>
            <w:tcW w:w="4788" w:type="dxa"/>
          </w:tcPr>
          <w:p w:rsidR="00BF3B29" w:rsidRPr="001528F9" w:rsidRDefault="001528F9">
            <w:pPr>
              <w:pStyle w:val="DefaultText"/>
              <w:rPr>
                <w:b/>
              </w:rPr>
            </w:pPr>
            <w:r w:rsidRPr="001528F9">
              <w:rPr>
                <w:b/>
              </w:rPr>
              <w:t>Online payments:</w:t>
            </w:r>
          </w:p>
        </w:tc>
        <w:tc>
          <w:tcPr>
            <w:tcW w:w="1296" w:type="dxa"/>
          </w:tcPr>
          <w:p w:rsidR="00BF3B29" w:rsidRDefault="00BF3B29" w:rsidP="003377A8">
            <w:pPr>
              <w:pStyle w:val="DefaultText"/>
              <w:jc w:val="right"/>
            </w:pPr>
          </w:p>
        </w:tc>
      </w:tr>
      <w:tr w:rsidR="001528F9" w:rsidRPr="003377A8" w:rsidTr="00290C07">
        <w:tc>
          <w:tcPr>
            <w:tcW w:w="4788" w:type="dxa"/>
          </w:tcPr>
          <w:p w:rsidR="001528F9" w:rsidRDefault="001528F9">
            <w:pPr>
              <w:pStyle w:val="DefaultText"/>
            </w:pPr>
            <w:r>
              <w:t>P James – clerk’s fee and expenses - SO</w:t>
            </w:r>
          </w:p>
        </w:tc>
        <w:tc>
          <w:tcPr>
            <w:tcW w:w="1296" w:type="dxa"/>
          </w:tcPr>
          <w:p w:rsidR="001528F9" w:rsidRDefault="001528F9" w:rsidP="003377A8">
            <w:pPr>
              <w:pStyle w:val="DefaultText"/>
              <w:jc w:val="right"/>
            </w:pPr>
            <w:r>
              <w:t>300.00</w:t>
            </w:r>
          </w:p>
        </w:tc>
      </w:tr>
      <w:tr w:rsidR="001528F9" w:rsidRPr="003377A8" w:rsidTr="00290C07">
        <w:tc>
          <w:tcPr>
            <w:tcW w:w="4788" w:type="dxa"/>
          </w:tcPr>
          <w:p w:rsidR="001528F9" w:rsidRDefault="001528F9" w:rsidP="001528F9">
            <w:pPr>
              <w:pStyle w:val="DefaultText"/>
              <w:numPr>
                <w:ilvl w:val="0"/>
                <w:numId w:val="2"/>
              </w:numPr>
            </w:pPr>
            <w:r>
              <w:t>balance</w:t>
            </w:r>
          </w:p>
        </w:tc>
        <w:tc>
          <w:tcPr>
            <w:tcW w:w="1296" w:type="dxa"/>
          </w:tcPr>
          <w:p w:rsidR="001528F9" w:rsidRDefault="00E00F5F" w:rsidP="003377A8">
            <w:pPr>
              <w:pStyle w:val="DefaultText"/>
              <w:jc w:val="right"/>
            </w:pPr>
            <w:r>
              <w:t>102.31</w:t>
            </w:r>
          </w:p>
        </w:tc>
      </w:tr>
      <w:tr w:rsidR="003F25AE" w:rsidRPr="003377A8" w:rsidTr="00290C07">
        <w:tc>
          <w:tcPr>
            <w:tcW w:w="4788" w:type="dxa"/>
          </w:tcPr>
          <w:p w:rsidR="003F25AE" w:rsidRDefault="003F25AE">
            <w:pPr>
              <w:pStyle w:val="DefaultText"/>
            </w:pPr>
            <w:r>
              <w:t>Norfolk Pension Fund</w:t>
            </w:r>
          </w:p>
        </w:tc>
        <w:tc>
          <w:tcPr>
            <w:tcW w:w="1296" w:type="dxa"/>
          </w:tcPr>
          <w:p w:rsidR="003F25AE" w:rsidRDefault="001528F9" w:rsidP="003377A8">
            <w:pPr>
              <w:pStyle w:val="DefaultText"/>
              <w:jc w:val="right"/>
            </w:pPr>
            <w:r>
              <w:t>10</w:t>
            </w:r>
            <w:r w:rsidR="00E00F5F">
              <w:t>5.08</w:t>
            </w:r>
          </w:p>
        </w:tc>
      </w:tr>
      <w:tr w:rsidR="003F25AE" w:rsidRPr="003377A8" w:rsidTr="00290C07">
        <w:tc>
          <w:tcPr>
            <w:tcW w:w="4788" w:type="dxa"/>
          </w:tcPr>
          <w:p w:rsidR="003F25AE" w:rsidRDefault="001528F9">
            <w:pPr>
              <w:pStyle w:val="DefaultText"/>
            </w:pPr>
            <w:r>
              <w:t>Acle Parish Council – share of expenses</w:t>
            </w:r>
          </w:p>
        </w:tc>
        <w:tc>
          <w:tcPr>
            <w:tcW w:w="1296" w:type="dxa"/>
          </w:tcPr>
          <w:p w:rsidR="003F25AE" w:rsidRDefault="00E00F5F" w:rsidP="003377A8">
            <w:pPr>
              <w:pStyle w:val="DefaultText"/>
              <w:jc w:val="right"/>
            </w:pPr>
            <w:r>
              <w:t>43.44</w:t>
            </w:r>
          </w:p>
        </w:tc>
      </w:tr>
      <w:tr w:rsidR="00A61C01" w:rsidRPr="003377A8" w:rsidTr="00290C07">
        <w:tc>
          <w:tcPr>
            <w:tcW w:w="4788" w:type="dxa"/>
          </w:tcPr>
          <w:p w:rsidR="00A61C01" w:rsidRDefault="00A61C01">
            <w:pPr>
              <w:pStyle w:val="DefaultText"/>
            </w:pPr>
            <w:r>
              <w:t>HMRC- clerk’s PAYE</w:t>
            </w:r>
          </w:p>
        </w:tc>
        <w:tc>
          <w:tcPr>
            <w:tcW w:w="1296" w:type="dxa"/>
          </w:tcPr>
          <w:p w:rsidR="00A61C01" w:rsidRDefault="00A61C01" w:rsidP="003377A8">
            <w:pPr>
              <w:pStyle w:val="DefaultText"/>
              <w:jc w:val="right"/>
            </w:pPr>
            <w:r>
              <w:t>7</w:t>
            </w:r>
            <w:r w:rsidR="00E00F5F">
              <w:t>6.40</w:t>
            </w:r>
          </w:p>
        </w:tc>
      </w:tr>
      <w:tr w:rsidR="00A61C01" w:rsidRPr="003377A8" w:rsidTr="00290C07">
        <w:tc>
          <w:tcPr>
            <w:tcW w:w="4788" w:type="dxa"/>
          </w:tcPr>
          <w:p w:rsidR="00A61C01" w:rsidRDefault="00E00F5F">
            <w:pPr>
              <w:pStyle w:val="DefaultText"/>
            </w:pPr>
            <w:r>
              <w:t>Garden Guardian - grasscutting</w:t>
            </w:r>
          </w:p>
        </w:tc>
        <w:tc>
          <w:tcPr>
            <w:tcW w:w="1296" w:type="dxa"/>
          </w:tcPr>
          <w:p w:rsidR="00A61C01" w:rsidRDefault="00E00F5F" w:rsidP="003377A8">
            <w:pPr>
              <w:pStyle w:val="DefaultText"/>
              <w:jc w:val="right"/>
            </w:pPr>
            <w:r>
              <w:t>868.35</w:t>
            </w:r>
          </w:p>
        </w:tc>
      </w:tr>
      <w:tr w:rsidR="00300C0E" w:rsidRPr="003377A8" w:rsidTr="00290C07">
        <w:tc>
          <w:tcPr>
            <w:tcW w:w="4788" w:type="dxa"/>
          </w:tcPr>
          <w:p w:rsidR="00300C0E" w:rsidRDefault="0013428B">
            <w:pPr>
              <w:pStyle w:val="DefaultText"/>
            </w:pPr>
            <w:r>
              <w:t>Environment Agency – drainage rates</w:t>
            </w:r>
          </w:p>
        </w:tc>
        <w:tc>
          <w:tcPr>
            <w:tcW w:w="1296" w:type="dxa"/>
          </w:tcPr>
          <w:p w:rsidR="00300C0E" w:rsidRDefault="0013428B" w:rsidP="003377A8">
            <w:pPr>
              <w:pStyle w:val="DefaultText"/>
              <w:jc w:val="right"/>
            </w:pPr>
            <w:r>
              <w:t>27.04</w:t>
            </w:r>
          </w:p>
        </w:tc>
      </w:tr>
      <w:tr w:rsidR="00A61C01" w:rsidRPr="003377A8" w:rsidTr="00290C07">
        <w:tc>
          <w:tcPr>
            <w:tcW w:w="4788" w:type="dxa"/>
          </w:tcPr>
          <w:p w:rsidR="00A61C01" w:rsidRDefault="00A61C01">
            <w:pPr>
              <w:pStyle w:val="DefaultText"/>
            </w:pPr>
            <w:r w:rsidRPr="003377A8">
              <w:rPr>
                <w:b/>
              </w:rPr>
              <w:t>Cheques for payment:</w:t>
            </w:r>
          </w:p>
        </w:tc>
        <w:tc>
          <w:tcPr>
            <w:tcW w:w="1296" w:type="dxa"/>
          </w:tcPr>
          <w:p w:rsidR="00A61C01" w:rsidRDefault="00A61C01" w:rsidP="003377A8">
            <w:pPr>
              <w:pStyle w:val="DefaultText"/>
              <w:jc w:val="right"/>
            </w:pPr>
          </w:p>
        </w:tc>
      </w:tr>
      <w:tr w:rsidR="00A61C01" w:rsidRPr="003377A8" w:rsidTr="00290C07">
        <w:tc>
          <w:tcPr>
            <w:tcW w:w="4788" w:type="dxa"/>
          </w:tcPr>
          <w:p w:rsidR="00A61C01" w:rsidRPr="00B6754B" w:rsidRDefault="0013428B">
            <w:pPr>
              <w:pStyle w:val="DefaultText"/>
            </w:pPr>
            <w:r>
              <w:t>John Barber – cleaning noticeboard</w:t>
            </w:r>
          </w:p>
        </w:tc>
        <w:tc>
          <w:tcPr>
            <w:tcW w:w="1296" w:type="dxa"/>
          </w:tcPr>
          <w:p w:rsidR="00A61C01" w:rsidRDefault="0013428B" w:rsidP="003377A8">
            <w:pPr>
              <w:pStyle w:val="DefaultText"/>
              <w:jc w:val="right"/>
            </w:pPr>
            <w:r>
              <w:t>25.00</w:t>
            </w:r>
          </w:p>
        </w:tc>
      </w:tr>
      <w:tr w:rsidR="00A61C01" w:rsidRPr="003377A8" w:rsidTr="00290C07">
        <w:tc>
          <w:tcPr>
            <w:tcW w:w="4788" w:type="dxa"/>
          </w:tcPr>
          <w:p w:rsidR="00A61C01" w:rsidRPr="009569DB" w:rsidRDefault="0082104E">
            <w:pPr>
              <w:pStyle w:val="DefaultText"/>
            </w:pPr>
            <w:r>
              <w:t>Justin Nudd – work at playing field</w:t>
            </w:r>
          </w:p>
        </w:tc>
        <w:tc>
          <w:tcPr>
            <w:tcW w:w="1296" w:type="dxa"/>
          </w:tcPr>
          <w:p w:rsidR="00A61C01" w:rsidRDefault="0082104E" w:rsidP="003377A8">
            <w:pPr>
              <w:pStyle w:val="DefaultText"/>
              <w:jc w:val="right"/>
            </w:pPr>
            <w:r>
              <w:t>65.00</w:t>
            </w:r>
          </w:p>
        </w:tc>
      </w:tr>
      <w:tr w:rsidR="003F25AE" w:rsidRPr="003377A8" w:rsidTr="00290C07">
        <w:tc>
          <w:tcPr>
            <w:tcW w:w="4788" w:type="dxa"/>
          </w:tcPr>
          <w:p w:rsidR="003F25AE" w:rsidRDefault="005526AE" w:rsidP="00E00F5F">
            <w:pPr>
              <w:pStyle w:val="DefaultText"/>
            </w:pPr>
            <w:r>
              <w:t xml:space="preserve">Balance c/f at </w:t>
            </w:r>
            <w:r w:rsidR="00E00F5F">
              <w:t>14</w:t>
            </w:r>
            <w:r w:rsidR="003F25AE" w:rsidRPr="003377A8">
              <w:rPr>
                <w:vertAlign w:val="superscript"/>
              </w:rPr>
              <w:t>th</w:t>
            </w:r>
            <w:r w:rsidR="00E00F5F">
              <w:t xml:space="preserve"> May</w:t>
            </w:r>
            <w:r w:rsidR="006E6D7A">
              <w:t xml:space="preserve"> 2015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3F25AE" w:rsidRDefault="0082104E" w:rsidP="003377A8">
            <w:pPr>
              <w:pStyle w:val="DefaultText"/>
              <w:jc w:val="right"/>
            </w:pPr>
            <w:r>
              <w:t>760</w:t>
            </w:r>
            <w:r w:rsidR="00963067">
              <w:t>.5</w:t>
            </w:r>
            <w:r w:rsidR="0013428B">
              <w:t>0</w:t>
            </w:r>
          </w:p>
        </w:tc>
      </w:tr>
      <w:tr w:rsidR="003F25AE" w:rsidRPr="003377A8" w:rsidTr="00290C07">
        <w:tc>
          <w:tcPr>
            <w:tcW w:w="4788" w:type="dxa"/>
          </w:tcPr>
          <w:p w:rsidR="003F25AE" w:rsidRDefault="003F25AE">
            <w:pPr>
              <w:pStyle w:val="DefaultText"/>
            </w:pPr>
            <w:r>
              <w:t>Savings Account</w:t>
            </w:r>
          </w:p>
        </w:tc>
        <w:tc>
          <w:tcPr>
            <w:tcW w:w="1296" w:type="dxa"/>
          </w:tcPr>
          <w:p w:rsidR="003F25AE" w:rsidRDefault="0013428B" w:rsidP="003377A8">
            <w:pPr>
              <w:pStyle w:val="DefaultText"/>
              <w:jc w:val="right"/>
            </w:pPr>
            <w:r>
              <w:t>12,853.82</w:t>
            </w:r>
          </w:p>
        </w:tc>
      </w:tr>
      <w:tr w:rsidR="003F25AE" w:rsidRPr="003377A8" w:rsidTr="00290C07">
        <w:tc>
          <w:tcPr>
            <w:tcW w:w="4788" w:type="dxa"/>
          </w:tcPr>
          <w:p w:rsidR="003F25AE" w:rsidRDefault="003F25AE">
            <w:pPr>
              <w:pStyle w:val="DefaultText"/>
            </w:pPr>
            <w:r>
              <w:t>Savings Account</w:t>
            </w:r>
          </w:p>
        </w:tc>
        <w:tc>
          <w:tcPr>
            <w:tcW w:w="1296" w:type="dxa"/>
          </w:tcPr>
          <w:p w:rsidR="003F25AE" w:rsidRDefault="003F25AE" w:rsidP="003377A8">
            <w:pPr>
              <w:pStyle w:val="DefaultText"/>
              <w:jc w:val="right"/>
            </w:pPr>
            <w:r>
              <w:t>0.29</w:t>
            </w:r>
          </w:p>
        </w:tc>
      </w:tr>
      <w:tr w:rsidR="003F25AE" w:rsidRPr="003377A8" w:rsidTr="00290C07">
        <w:tc>
          <w:tcPr>
            <w:tcW w:w="4788" w:type="dxa"/>
          </w:tcPr>
          <w:p w:rsidR="003F25AE" w:rsidRDefault="003F25AE">
            <w:pPr>
              <w:pStyle w:val="DefaultText"/>
            </w:pPr>
            <w:r>
              <w:t>Active Saver</w:t>
            </w:r>
          </w:p>
        </w:tc>
        <w:tc>
          <w:tcPr>
            <w:tcW w:w="1296" w:type="dxa"/>
          </w:tcPr>
          <w:p w:rsidR="003F25AE" w:rsidRDefault="009569DB" w:rsidP="003377A8">
            <w:pPr>
              <w:pStyle w:val="DefaultText"/>
              <w:jc w:val="right"/>
            </w:pPr>
            <w:r>
              <w:t>40</w:t>
            </w:r>
            <w:r w:rsidR="004C6C4D">
              <w:t>,382.00</w:t>
            </w:r>
          </w:p>
        </w:tc>
      </w:tr>
      <w:tr w:rsidR="003F25AE" w:rsidRPr="003377A8" w:rsidTr="00290C07">
        <w:tc>
          <w:tcPr>
            <w:tcW w:w="4788" w:type="dxa"/>
          </w:tcPr>
          <w:p w:rsidR="003F25AE" w:rsidRDefault="003F25AE">
            <w:pPr>
              <w:pStyle w:val="DefaultText"/>
            </w:pPr>
            <w:r>
              <w:t>Repairs and Renewals Account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F25AE" w:rsidRDefault="0013428B" w:rsidP="003377A8">
            <w:pPr>
              <w:pStyle w:val="DefaultText"/>
              <w:jc w:val="right"/>
            </w:pPr>
            <w:r>
              <w:t>53,635.56</w:t>
            </w:r>
          </w:p>
        </w:tc>
      </w:tr>
      <w:tr w:rsidR="003F25AE" w:rsidRPr="003377A8" w:rsidTr="00290C07">
        <w:tc>
          <w:tcPr>
            <w:tcW w:w="4788" w:type="dxa"/>
          </w:tcPr>
          <w:p w:rsidR="003F25AE" w:rsidRDefault="003F25AE">
            <w:pPr>
              <w:pStyle w:val="DefaultText"/>
            </w:pPr>
            <w:r>
              <w:t>Total Monies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F25AE" w:rsidRDefault="0082104E" w:rsidP="003377A8">
            <w:pPr>
              <w:pStyle w:val="DefaultText"/>
              <w:jc w:val="right"/>
            </w:pPr>
            <w:r>
              <w:t>107,632</w:t>
            </w:r>
            <w:r w:rsidR="0013428B">
              <w:t>.17</w:t>
            </w:r>
          </w:p>
        </w:tc>
      </w:tr>
    </w:tbl>
    <w:p w:rsidR="00BF3B29" w:rsidRDefault="00BF3B29">
      <w:pPr>
        <w:pStyle w:val="DefaultText"/>
        <w:rPr>
          <w:b/>
          <w:u w:val="single"/>
        </w:rPr>
      </w:pPr>
    </w:p>
    <w:p w:rsidR="00C10698" w:rsidRPr="0082104E" w:rsidRDefault="0082104E">
      <w:pPr>
        <w:overflowPunct/>
        <w:autoSpaceDE/>
        <w:autoSpaceDN/>
        <w:adjustRightInd/>
        <w:textAlignment w:val="auto"/>
        <w:rPr>
          <w:color w:val="000000"/>
          <w:sz w:val="24"/>
        </w:rPr>
      </w:pPr>
      <w:r w:rsidRPr="0082104E">
        <w:rPr>
          <w:color w:val="000000"/>
          <w:sz w:val="24"/>
        </w:rPr>
        <w:t>It was noted that £40,382 is payable to the Environment Agency for several years rental of the boat dyke moorings.</w:t>
      </w:r>
    </w:p>
    <w:p w:rsidR="00BF3B29" w:rsidRDefault="00BF3B29">
      <w:pPr>
        <w:pStyle w:val="DefaultText"/>
        <w:rPr>
          <w:b/>
          <w:u w:val="single"/>
        </w:rPr>
      </w:pPr>
    </w:p>
    <w:p w:rsidR="005A2921" w:rsidRDefault="005A2921">
      <w:pPr>
        <w:pStyle w:val="DefaultText"/>
      </w:pPr>
      <w:r>
        <w:t>The above cheques</w:t>
      </w:r>
      <w:r w:rsidR="00A84948">
        <w:t xml:space="preserve"> and online payments were authorised</w:t>
      </w:r>
      <w:r>
        <w:t>.</w:t>
      </w:r>
      <w:r w:rsidR="0082104E">
        <w:t xml:space="preserve">  Debbie Durrant</w:t>
      </w:r>
      <w:r w:rsidR="001A67EE">
        <w:t xml:space="preserve"> had</w:t>
      </w:r>
      <w:r w:rsidR="00631328">
        <w:t xml:space="preserve"> checked the clerk’s bank reconciliation for the financial year end, 31</w:t>
      </w:r>
      <w:r w:rsidR="00631328" w:rsidRPr="00631328">
        <w:rPr>
          <w:vertAlign w:val="superscript"/>
        </w:rPr>
        <w:t>st</w:t>
      </w:r>
      <w:r w:rsidR="00631328">
        <w:t xml:space="preserve"> March 2015.</w:t>
      </w:r>
    </w:p>
    <w:p w:rsidR="00932115" w:rsidRDefault="00932115">
      <w:pPr>
        <w:pStyle w:val="DefaultText"/>
      </w:pPr>
    </w:p>
    <w:p w:rsidR="00932115" w:rsidRDefault="0082104E">
      <w:pPr>
        <w:pStyle w:val="DefaultText"/>
      </w:pPr>
      <w:r>
        <w:t>It was agreed to r</w:t>
      </w:r>
      <w:r w:rsidR="00932115">
        <w:t>emove N</w:t>
      </w:r>
      <w:r>
        <w:t xml:space="preserve">icholas </w:t>
      </w:r>
      <w:r w:rsidR="00932115">
        <w:t>C</w:t>
      </w:r>
      <w:r>
        <w:t>rane</w:t>
      </w:r>
      <w:r w:rsidR="00932115">
        <w:t xml:space="preserve"> from </w:t>
      </w:r>
      <w:r>
        <w:t>the cheque signatory list and add Mike Brown.</w:t>
      </w:r>
    </w:p>
    <w:p w:rsidR="00932115" w:rsidRDefault="00932115">
      <w:pPr>
        <w:pStyle w:val="DefaultText"/>
      </w:pPr>
    </w:p>
    <w:p w:rsidR="00932115" w:rsidRPr="00932115" w:rsidRDefault="00932115">
      <w:pPr>
        <w:pStyle w:val="DefaultText"/>
        <w:rPr>
          <w:b/>
          <w:u w:val="single"/>
        </w:rPr>
      </w:pPr>
      <w:r w:rsidRPr="00932115">
        <w:rPr>
          <w:b/>
          <w:u w:val="single"/>
        </w:rPr>
        <w:t>Accounts and Annual Return:</w:t>
      </w:r>
    </w:p>
    <w:p w:rsidR="00932115" w:rsidRDefault="00932115">
      <w:pPr>
        <w:pStyle w:val="DefaultText"/>
      </w:pPr>
      <w:r>
        <w:t>The clerk presented the Accounts for the year ended 31</w:t>
      </w:r>
      <w:r w:rsidRPr="00932115">
        <w:rPr>
          <w:vertAlign w:val="superscript"/>
        </w:rPr>
        <w:t>st</w:t>
      </w:r>
      <w:r>
        <w:t xml:space="preserve"> March 2015, which were then approved and adopted.</w:t>
      </w:r>
    </w:p>
    <w:p w:rsidR="00C10698" w:rsidRDefault="00C10698">
      <w:pPr>
        <w:pStyle w:val="DefaultText"/>
      </w:pPr>
    </w:p>
    <w:p w:rsidR="00C10698" w:rsidRDefault="00C10698">
      <w:pPr>
        <w:pStyle w:val="DefaultText"/>
      </w:pPr>
      <w:r>
        <w:t>An analysis of actual results versus budget had been circulated</w:t>
      </w:r>
      <w:r w:rsidR="0082104E">
        <w:t>, with explanations for the variances.</w:t>
      </w:r>
    </w:p>
    <w:p w:rsidR="00932115" w:rsidRDefault="00932115">
      <w:pPr>
        <w:pStyle w:val="DefaultText"/>
      </w:pPr>
    </w:p>
    <w:p w:rsidR="00932115" w:rsidRDefault="00932115">
      <w:pPr>
        <w:pStyle w:val="DefaultText"/>
      </w:pPr>
      <w:r>
        <w:t>The Annual Ret</w:t>
      </w:r>
      <w:r w:rsidR="00357B12">
        <w:t>ur</w:t>
      </w:r>
      <w:r>
        <w:t>n Section 1 was approved.</w:t>
      </w:r>
      <w:r w:rsidR="0082104E">
        <w:t xml:space="preserve"> </w:t>
      </w:r>
      <w:r>
        <w:t>Section 2 was completed and approved.</w:t>
      </w:r>
      <w:r w:rsidR="001A67EE">
        <w:t xml:space="preserve"> Philip Armes was authorised to sign both sections on behalf of the Council.</w:t>
      </w:r>
    </w:p>
    <w:p w:rsidR="00932115" w:rsidRDefault="00932115">
      <w:pPr>
        <w:pStyle w:val="DefaultText"/>
      </w:pPr>
    </w:p>
    <w:p w:rsidR="00932115" w:rsidRPr="0082104E" w:rsidRDefault="00932115">
      <w:pPr>
        <w:pStyle w:val="DefaultText"/>
        <w:rPr>
          <w:b/>
          <w:u w:val="single"/>
        </w:rPr>
      </w:pPr>
      <w:r w:rsidRPr="00932115">
        <w:rPr>
          <w:b/>
          <w:u w:val="single"/>
        </w:rPr>
        <w:t>General Power of Competence:</w:t>
      </w:r>
    </w:p>
    <w:p w:rsidR="00932115" w:rsidRPr="00932115" w:rsidRDefault="00932115" w:rsidP="00932115">
      <w:pPr>
        <w:rPr>
          <w:rStyle w:val="uficommentbody"/>
          <w:rFonts w:cs="Arial"/>
          <w:sz w:val="24"/>
          <w:szCs w:val="24"/>
          <w:lang w:val="en-US"/>
        </w:rPr>
      </w:pPr>
      <w:r w:rsidRPr="00932115">
        <w:rPr>
          <w:rStyle w:val="uficommentbody"/>
          <w:rFonts w:cs="Arial"/>
          <w:sz w:val="24"/>
          <w:szCs w:val="24"/>
          <w:lang w:val="en-US"/>
        </w:rPr>
        <w:t>The Council re-confirmed its eligibility to adopt the General Power of Competence. This power, introduced by the Localism Act 2011, give a parish council the power to do anything which a person may legally do, and removes the need to act only in accordance with council laws. The clerk needs to be qualified and at least 2/3rds of the councillors mus</w:t>
      </w:r>
      <w:r w:rsidR="0082104E">
        <w:rPr>
          <w:rStyle w:val="uficommentbody"/>
          <w:rFonts w:cs="Arial"/>
          <w:sz w:val="24"/>
          <w:szCs w:val="24"/>
          <w:lang w:val="en-US"/>
        </w:rPr>
        <w:t>t have stood for election. The C</w:t>
      </w:r>
      <w:r w:rsidRPr="00932115">
        <w:rPr>
          <w:rStyle w:val="uficommentbody"/>
          <w:rFonts w:cs="Arial"/>
          <w:sz w:val="24"/>
          <w:szCs w:val="24"/>
          <w:lang w:val="en-US"/>
        </w:rPr>
        <w:t>ouncil meets both requirements.</w:t>
      </w:r>
    </w:p>
    <w:p w:rsidR="008927B9" w:rsidRDefault="008927B9">
      <w:pPr>
        <w:pStyle w:val="DefaultText"/>
        <w:rPr>
          <w:b/>
          <w:u w:val="single"/>
        </w:rPr>
      </w:pPr>
    </w:p>
    <w:p w:rsidR="008927B9" w:rsidRDefault="008927B9" w:rsidP="008927B9">
      <w:pPr>
        <w:pStyle w:val="DefaultText"/>
      </w:pPr>
      <w:r>
        <w:rPr>
          <w:b/>
          <w:u w:val="single"/>
        </w:rPr>
        <w:t>Planning Matters:</w:t>
      </w:r>
    </w:p>
    <w:p w:rsidR="00C10698" w:rsidRDefault="004D7BB7" w:rsidP="00E764B7">
      <w:pPr>
        <w:pStyle w:val="DefaultText"/>
        <w:numPr>
          <w:ilvl w:val="0"/>
          <w:numId w:val="7"/>
        </w:numPr>
        <w:ind w:left="426" w:hanging="426"/>
      </w:pPr>
      <w:r w:rsidRPr="0082104E">
        <w:rPr>
          <w:b/>
        </w:rPr>
        <w:t>Mr Goode, The Conifers, 32 The Green</w:t>
      </w:r>
      <w:r>
        <w:t xml:space="preserve"> – erection of carport (retrospective) (20150618)</w:t>
      </w:r>
      <w:r w:rsidR="0082104E">
        <w:t>. The councillors had no objections to the plans.</w:t>
      </w:r>
    </w:p>
    <w:p w:rsidR="00C10698" w:rsidRDefault="00C10698" w:rsidP="00C10698">
      <w:pPr>
        <w:pStyle w:val="DefaultText"/>
      </w:pPr>
    </w:p>
    <w:p w:rsidR="00C10698" w:rsidRPr="004D7BB7" w:rsidRDefault="00C10698" w:rsidP="00E764B7">
      <w:pPr>
        <w:pStyle w:val="DefaultText"/>
        <w:numPr>
          <w:ilvl w:val="0"/>
          <w:numId w:val="7"/>
        </w:numPr>
        <w:ind w:left="426" w:hanging="426"/>
      </w:pPr>
      <w:r>
        <w:rPr>
          <w:b/>
          <w:szCs w:val="24"/>
        </w:rPr>
        <w:t xml:space="preserve">Result from Broads Authority - </w:t>
      </w:r>
      <w:r w:rsidRPr="00050B8F">
        <w:rPr>
          <w:b/>
          <w:szCs w:val="24"/>
        </w:rPr>
        <w:t>Environment Agency</w:t>
      </w:r>
      <w:r w:rsidRPr="00050B8F">
        <w:rPr>
          <w:szCs w:val="24"/>
        </w:rPr>
        <w:t>, Flood bank at Fishley Marshes, Right bank of River Bure, by clubhouse – install piles to raise height of floodbank BA/2015/0068/FUL</w:t>
      </w:r>
      <w:r>
        <w:rPr>
          <w:szCs w:val="24"/>
        </w:rPr>
        <w:t>. Full approval</w:t>
      </w:r>
    </w:p>
    <w:p w:rsidR="006125FC" w:rsidRDefault="006125FC">
      <w:pPr>
        <w:pStyle w:val="DefaultText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Village Hall and Playing Field:</w:t>
      </w:r>
    </w:p>
    <w:p w:rsidR="006125FC" w:rsidRDefault="0082104E">
      <w:pPr>
        <w:pStyle w:val="DefaultText"/>
      </w:pPr>
      <w:r>
        <w:t>It was agreed to n</w:t>
      </w:r>
      <w:r w:rsidR="00932115" w:rsidRPr="00932115">
        <w:t xml:space="preserve">ominate </w:t>
      </w:r>
      <w:r>
        <w:t>Ginny Pitchers and Philip Armes to the Village Hall Committee, with Debbie Durrant to attend meetings when the other councillors were unable to attend.</w:t>
      </w:r>
    </w:p>
    <w:p w:rsidR="00C10698" w:rsidRDefault="00C10698">
      <w:pPr>
        <w:pStyle w:val="DefaultText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Boat Dyke and Staithe:</w:t>
      </w:r>
    </w:p>
    <w:p w:rsidR="00932115" w:rsidRDefault="0082104E">
      <w:pPr>
        <w:pStyle w:val="DefaultText"/>
        <w:rPr>
          <w:b/>
          <w:u w:val="single"/>
        </w:rPr>
      </w:pPr>
      <w:r>
        <w:t>No correspondence ha</w:t>
      </w:r>
      <w:r w:rsidR="00E764B7">
        <w:t>d</w:t>
      </w:r>
      <w:r>
        <w:t xml:space="preserve"> been received from the Environment Agency.</w:t>
      </w:r>
    </w:p>
    <w:p w:rsidR="00932115" w:rsidRDefault="00932115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Any Other Business:</w:t>
      </w:r>
    </w:p>
    <w:p w:rsidR="006125FC" w:rsidRDefault="00E764B7" w:rsidP="00E764B7">
      <w:pPr>
        <w:pStyle w:val="DefaultText"/>
        <w:numPr>
          <w:ilvl w:val="0"/>
          <w:numId w:val="10"/>
        </w:numPr>
        <w:ind w:left="426" w:hanging="426"/>
      </w:pPr>
      <w:r>
        <w:t>It was agreed to discuss the registration of the pond at the next meeting.</w:t>
      </w:r>
    </w:p>
    <w:p w:rsidR="00E764B7" w:rsidRDefault="00E764B7" w:rsidP="00E764B7">
      <w:pPr>
        <w:pStyle w:val="DefaultText"/>
        <w:ind w:left="426" w:hanging="426"/>
      </w:pPr>
    </w:p>
    <w:p w:rsidR="00E764B7" w:rsidRDefault="00E764B7" w:rsidP="00E764B7">
      <w:pPr>
        <w:pStyle w:val="DefaultText"/>
        <w:numPr>
          <w:ilvl w:val="0"/>
          <w:numId w:val="10"/>
        </w:numPr>
        <w:ind w:left="426" w:hanging="426"/>
      </w:pPr>
      <w:r>
        <w:t>A proposal to introduce some ducks onto the pond will also be considered.</w:t>
      </w:r>
    </w:p>
    <w:p w:rsidR="00E764B7" w:rsidRDefault="00E764B7" w:rsidP="00E764B7">
      <w:pPr>
        <w:pStyle w:val="DefaultText"/>
        <w:ind w:left="426" w:hanging="426"/>
      </w:pPr>
    </w:p>
    <w:p w:rsidR="00E764B7" w:rsidRDefault="00E764B7" w:rsidP="00E764B7">
      <w:pPr>
        <w:pStyle w:val="DefaultText"/>
        <w:numPr>
          <w:ilvl w:val="0"/>
          <w:numId w:val="10"/>
        </w:numPr>
        <w:ind w:left="426" w:hanging="426"/>
      </w:pPr>
      <w:r>
        <w:t>The clerk was asked to follow up the issues reported at the Prince of Wales Road/Hanging Hill crossroads.</w:t>
      </w:r>
    </w:p>
    <w:p w:rsidR="00E764B7" w:rsidRDefault="00E764B7" w:rsidP="00E764B7">
      <w:pPr>
        <w:pStyle w:val="ListParagraph"/>
        <w:ind w:left="426" w:hanging="426"/>
      </w:pPr>
    </w:p>
    <w:p w:rsidR="00E764B7" w:rsidRDefault="00E764B7" w:rsidP="00E764B7">
      <w:pPr>
        <w:pStyle w:val="DefaultText"/>
        <w:numPr>
          <w:ilvl w:val="0"/>
          <w:numId w:val="10"/>
        </w:numPr>
        <w:ind w:left="426" w:hanging="426"/>
      </w:pPr>
      <w:r>
        <w:t>The regrowth of the trees in the churchyard will be resprayed.</w:t>
      </w:r>
    </w:p>
    <w:p w:rsidR="00E764B7" w:rsidRPr="00E764B7" w:rsidRDefault="00E764B7" w:rsidP="00E764B7">
      <w:pPr>
        <w:pStyle w:val="DefaultText"/>
        <w:ind w:left="426" w:hanging="426"/>
      </w:pPr>
    </w:p>
    <w:p w:rsidR="006125FC" w:rsidRDefault="006125FC" w:rsidP="00E764B7">
      <w:pPr>
        <w:pStyle w:val="DefaultText"/>
        <w:ind w:left="426" w:hanging="426"/>
        <w:rPr>
          <w:b/>
          <w:u w:val="single"/>
        </w:rPr>
      </w:pPr>
      <w:r>
        <w:t>5.</w:t>
      </w:r>
      <w:r>
        <w:tab/>
        <w:t>The next meeting will be</w:t>
      </w:r>
      <w:r w:rsidR="00932115">
        <w:t xml:space="preserve"> on Thursday, </w:t>
      </w:r>
      <w:r w:rsidR="00932115" w:rsidRPr="004D7BB7">
        <w:rPr>
          <w:u w:val="single"/>
        </w:rPr>
        <w:t>4th June</w:t>
      </w:r>
      <w:r w:rsidR="006E6D7A">
        <w:t xml:space="preserve"> 2015</w:t>
      </w:r>
      <w:r w:rsidR="00932115">
        <w:t xml:space="preserve"> </w:t>
      </w:r>
      <w:r w:rsidR="004934B8">
        <w:t>at 7.30pm</w:t>
      </w:r>
      <w:r>
        <w:t>.</w:t>
      </w:r>
    </w:p>
    <w:p w:rsidR="00767D54" w:rsidRDefault="00767D54" w:rsidP="00E764B7">
      <w:pPr>
        <w:pStyle w:val="DefaultText"/>
        <w:ind w:left="426" w:hanging="426"/>
        <w:rPr>
          <w:b/>
          <w:u w:val="single"/>
        </w:rPr>
      </w:pPr>
    </w:p>
    <w:p w:rsidR="00767D54" w:rsidRDefault="00767D54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</w:pPr>
      <w:r>
        <w:t>There being no further business th</w:t>
      </w:r>
      <w:r w:rsidR="00932115">
        <w:t xml:space="preserve">e meeting </w:t>
      </w:r>
      <w:r w:rsidR="00E764B7">
        <w:t xml:space="preserve">closed at 8.30 </w:t>
      </w:r>
      <w:r>
        <w:t>p.m.</w:t>
      </w:r>
    </w:p>
    <w:p w:rsidR="00A84948" w:rsidRDefault="00A84948">
      <w:pPr>
        <w:pStyle w:val="DefaultText"/>
      </w:pPr>
    </w:p>
    <w:p w:rsidR="006125FC" w:rsidRDefault="006125FC">
      <w:pPr>
        <w:pStyle w:val="DefaultText"/>
      </w:pPr>
    </w:p>
    <w:p w:rsidR="006125FC" w:rsidRDefault="006125FC">
      <w:pPr>
        <w:pStyle w:val="DefaultText"/>
      </w:pPr>
      <w:r>
        <w:t>Signed...........................</w:t>
      </w:r>
      <w:r w:rsidR="00932115">
        <w:t>..</w:t>
      </w:r>
      <w:r w:rsidR="00932115">
        <w:tab/>
      </w:r>
      <w:r w:rsidR="00932115">
        <w:tab/>
      </w:r>
      <w:r w:rsidR="00932115">
        <w:tab/>
      </w:r>
      <w:r w:rsidR="00932115">
        <w:tab/>
        <w:t>Dated: 4th June</w:t>
      </w:r>
      <w:r w:rsidR="004934B8">
        <w:t xml:space="preserve"> </w:t>
      </w:r>
      <w:r w:rsidR="006E6D7A">
        <w:t>2015</w:t>
      </w:r>
      <w:r>
        <w:t>.</w:t>
      </w:r>
    </w:p>
    <w:p w:rsidR="006125FC" w:rsidRDefault="006125FC">
      <w:pPr>
        <w:pStyle w:val="DefaultText"/>
      </w:pPr>
      <w:r>
        <w:tab/>
        <w:t>Chairman</w:t>
      </w:r>
    </w:p>
    <w:sectPr w:rsidR="006125FC" w:rsidSect="00DE53C5">
      <w:footerReference w:type="default" r:id="rId8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14" w:rsidRDefault="00AF6714">
      <w:r>
        <w:separator/>
      </w:r>
    </w:p>
  </w:endnote>
  <w:endnote w:type="continuationSeparator" w:id="0">
    <w:p w:rsidR="00AF6714" w:rsidRDefault="00AF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8888"/>
      <w:docPartObj>
        <w:docPartGallery w:val="Page Numbers (Bottom of Page)"/>
        <w:docPartUnique/>
      </w:docPartObj>
    </w:sdtPr>
    <w:sdtContent>
      <w:p w:rsidR="00204321" w:rsidRDefault="00204321">
        <w:pPr>
          <w:pStyle w:val="Footer"/>
          <w:jc w:val="right"/>
        </w:pPr>
        <w:r>
          <w:t xml:space="preserve">14.05.2015      </w:t>
        </w:r>
        <w:fldSimple w:instr=" PAGE   \* MERGEFORMAT ">
          <w:r w:rsidR="005122D5">
            <w:rPr>
              <w:noProof/>
            </w:rPr>
            <w:t>3</w:t>
          </w:r>
        </w:fldSimple>
      </w:p>
    </w:sdtContent>
  </w:sdt>
  <w:p w:rsidR="00204321" w:rsidRDefault="00204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14" w:rsidRDefault="00AF6714">
      <w:r>
        <w:separator/>
      </w:r>
    </w:p>
  </w:footnote>
  <w:footnote w:type="continuationSeparator" w:id="0">
    <w:p w:rsidR="00AF6714" w:rsidRDefault="00AF6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2B4"/>
    <w:multiLevelType w:val="hybridMultilevel"/>
    <w:tmpl w:val="AEA0A5AC"/>
    <w:lvl w:ilvl="0" w:tplc="05784A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98B"/>
    <w:multiLevelType w:val="hybridMultilevel"/>
    <w:tmpl w:val="A7480C42"/>
    <w:lvl w:ilvl="0" w:tplc="85FCA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8F9"/>
    <w:multiLevelType w:val="hybridMultilevel"/>
    <w:tmpl w:val="0E30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0331D"/>
    <w:multiLevelType w:val="hybridMultilevel"/>
    <w:tmpl w:val="C0C28188"/>
    <w:lvl w:ilvl="0" w:tplc="B7E09A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41240"/>
    <w:multiLevelType w:val="hybridMultilevel"/>
    <w:tmpl w:val="697E5FA6"/>
    <w:lvl w:ilvl="0" w:tplc="2A3833B0">
      <w:start w:val="300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22920365"/>
    <w:multiLevelType w:val="hybridMultilevel"/>
    <w:tmpl w:val="F07A4112"/>
    <w:lvl w:ilvl="0" w:tplc="9BF21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96A47"/>
    <w:multiLevelType w:val="hybridMultilevel"/>
    <w:tmpl w:val="66CAE06A"/>
    <w:lvl w:ilvl="0" w:tplc="F04E9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C7ABD"/>
    <w:multiLevelType w:val="hybridMultilevel"/>
    <w:tmpl w:val="85126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82E05"/>
    <w:multiLevelType w:val="hybridMultilevel"/>
    <w:tmpl w:val="0F9646D0"/>
    <w:lvl w:ilvl="0" w:tplc="4620A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92A08"/>
    <w:multiLevelType w:val="hybridMultilevel"/>
    <w:tmpl w:val="B2001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D2BE0"/>
    <w:rsid w:val="00003897"/>
    <w:rsid w:val="00027724"/>
    <w:rsid w:val="0004337F"/>
    <w:rsid w:val="000648DA"/>
    <w:rsid w:val="000C3D69"/>
    <w:rsid w:val="000D2BE0"/>
    <w:rsid w:val="00121E15"/>
    <w:rsid w:val="0013428B"/>
    <w:rsid w:val="0014303A"/>
    <w:rsid w:val="001528F9"/>
    <w:rsid w:val="001655B8"/>
    <w:rsid w:val="001A67EE"/>
    <w:rsid w:val="001A7E78"/>
    <w:rsid w:val="001B5A7D"/>
    <w:rsid w:val="001D4815"/>
    <w:rsid w:val="00204321"/>
    <w:rsid w:val="00210C54"/>
    <w:rsid w:val="00215BC6"/>
    <w:rsid w:val="002204E3"/>
    <w:rsid w:val="00290C07"/>
    <w:rsid w:val="002F2254"/>
    <w:rsid w:val="00300C0E"/>
    <w:rsid w:val="003377A8"/>
    <w:rsid w:val="0035538F"/>
    <w:rsid w:val="00357B12"/>
    <w:rsid w:val="00383298"/>
    <w:rsid w:val="003C446B"/>
    <w:rsid w:val="003F25AE"/>
    <w:rsid w:val="00410E9A"/>
    <w:rsid w:val="004459DE"/>
    <w:rsid w:val="00490995"/>
    <w:rsid w:val="004934B8"/>
    <w:rsid w:val="004C45BF"/>
    <w:rsid w:val="004C6C4D"/>
    <w:rsid w:val="004D7BB7"/>
    <w:rsid w:val="00511D54"/>
    <w:rsid w:val="005122D5"/>
    <w:rsid w:val="00523AB6"/>
    <w:rsid w:val="005410ED"/>
    <w:rsid w:val="005474BD"/>
    <w:rsid w:val="005526AE"/>
    <w:rsid w:val="00556A24"/>
    <w:rsid w:val="00562913"/>
    <w:rsid w:val="005A2921"/>
    <w:rsid w:val="005C2A3C"/>
    <w:rsid w:val="005F2D98"/>
    <w:rsid w:val="00602A5B"/>
    <w:rsid w:val="006125FC"/>
    <w:rsid w:val="006170AA"/>
    <w:rsid w:val="00624421"/>
    <w:rsid w:val="00631328"/>
    <w:rsid w:val="00673C8C"/>
    <w:rsid w:val="006C2015"/>
    <w:rsid w:val="006D7FEE"/>
    <w:rsid w:val="006E6D7A"/>
    <w:rsid w:val="00715E23"/>
    <w:rsid w:val="007345E7"/>
    <w:rsid w:val="00767D54"/>
    <w:rsid w:val="00773D87"/>
    <w:rsid w:val="0077754C"/>
    <w:rsid w:val="007A0274"/>
    <w:rsid w:val="007A7396"/>
    <w:rsid w:val="007B0909"/>
    <w:rsid w:val="007C578C"/>
    <w:rsid w:val="007F7AD3"/>
    <w:rsid w:val="00813B44"/>
    <w:rsid w:val="00816F50"/>
    <w:rsid w:val="0082104E"/>
    <w:rsid w:val="008351E3"/>
    <w:rsid w:val="008779A3"/>
    <w:rsid w:val="00886BAC"/>
    <w:rsid w:val="008927B9"/>
    <w:rsid w:val="008C4E7B"/>
    <w:rsid w:val="008F6ACB"/>
    <w:rsid w:val="009243C4"/>
    <w:rsid w:val="00932115"/>
    <w:rsid w:val="0095325F"/>
    <w:rsid w:val="009569DB"/>
    <w:rsid w:val="00963067"/>
    <w:rsid w:val="009906A1"/>
    <w:rsid w:val="009D4FC2"/>
    <w:rsid w:val="00A22D9E"/>
    <w:rsid w:val="00A61C01"/>
    <w:rsid w:val="00A84948"/>
    <w:rsid w:val="00AB2894"/>
    <w:rsid w:val="00AF6714"/>
    <w:rsid w:val="00B6754B"/>
    <w:rsid w:val="00B869DE"/>
    <w:rsid w:val="00B9232F"/>
    <w:rsid w:val="00BC5CF4"/>
    <w:rsid w:val="00BF3B29"/>
    <w:rsid w:val="00C10698"/>
    <w:rsid w:val="00C24AEE"/>
    <w:rsid w:val="00C75D84"/>
    <w:rsid w:val="00C91CC1"/>
    <w:rsid w:val="00C92394"/>
    <w:rsid w:val="00CB4CA4"/>
    <w:rsid w:val="00CB4E78"/>
    <w:rsid w:val="00CB6EEA"/>
    <w:rsid w:val="00CF0F02"/>
    <w:rsid w:val="00D05F5A"/>
    <w:rsid w:val="00D0712F"/>
    <w:rsid w:val="00D07F52"/>
    <w:rsid w:val="00D34424"/>
    <w:rsid w:val="00D6014D"/>
    <w:rsid w:val="00D74F05"/>
    <w:rsid w:val="00DA13F7"/>
    <w:rsid w:val="00DB6FF0"/>
    <w:rsid w:val="00DC551A"/>
    <w:rsid w:val="00DE4E8A"/>
    <w:rsid w:val="00DE53C5"/>
    <w:rsid w:val="00DF2B26"/>
    <w:rsid w:val="00E00F5F"/>
    <w:rsid w:val="00E16BFF"/>
    <w:rsid w:val="00E35E98"/>
    <w:rsid w:val="00E6637F"/>
    <w:rsid w:val="00E72782"/>
    <w:rsid w:val="00E764B7"/>
    <w:rsid w:val="00E8444A"/>
    <w:rsid w:val="00ED7889"/>
    <w:rsid w:val="00EE53B6"/>
    <w:rsid w:val="00F02DF0"/>
    <w:rsid w:val="00F75E25"/>
    <w:rsid w:val="00F86051"/>
    <w:rsid w:val="00FB01D5"/>
    <w:rsid w:val="00FD5EE1"/>
    <w:rsid w:val="00F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C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rsid w:val="00DE53C5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DE53C5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DE53C5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E53C5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sid w:val="00DE53C5"/>
    <w:rPr>
      <w:color w:val="000000"/>
      <w:sz w:val="24"/>
    </w:rPr>
  </w:style>
  <w:style w:type="paragraph" w:customStyle="1" w:styleId="OutlineIndented">
    <w:name w:val="Outline (Indented)"/>
    <w:basedOn w:val="Normal"/>
    <w:rsid w:val="00DE53C5"/>
    <w:rPr>
      <w:color w:val="000000"/>
      <w:sz w:val="24"/>
    </w:rPr>
  </w:style>
  <w:style w:type="paragraph" w:customStyle="1" w:styleId="TableText">
    <w:name w:val="Table Text"/>
    <w:basedOn w:val="Normal"/>
    <w:rsid w:val="00DE53C5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DE53C5"/>
    <w:rPr>
      <w:color w:val="000000"/>
      <w:sz w:val="24"/>
    </w:rPr>
  </w:style>
  <w:style w:type="paragraph" w:customStyle="1" w:styleId="FirstLineIndent">
    <w:name w:val="First Line Indent"/>
    <w:basedOn w:val="Normal"/>
    <w:rsid w:val="00DE53C5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DE53C5"/>
    <w:rPr>
      <w:color w:val="000000"/>
      <w:sz w:val="24"/>
    </w:rPr>
  </w:style>
  <w:style w:type="paragraph" w:customStyle="1" w:styleId="Bullet1">
    <w:name w:val="Bullet 1"/>
    <w:basedOn w:val="Normal"/>
    <w:rsid w:val="00DE53C5"/>
    <w:rPr>
      <w:color w:val="000000"/>
      <w:sz w:val="24"/>
    </w:rPr>
  </w:style>
  <w:style w:type="paragraph" w:customStyle="1" w:styleId="BodySingle">
    <w:name w:val="Body Single"/>
    <w:basedOn w:val="Normal"/>
    <w:rsid w:val="00DE53C5"/>
    <w:rPr>
      <w:color w:val="000000"/>
      <w:sz w:val="24"/>
    </w:rPr>
  </w:style>
  <w:style w:type="paragraph" w:customStyle="1" w:styleId="DefaultText">
    <w:name w:val="Default Text"/>
    <w:basedOn w:val="Normal"/>
    <w:rsid w:val="00DE53C5"/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31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AD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7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AD3"/>
    <w:rPr>
      <w:lang w:eastAsia="en-US"/>
    </w:rPr>
  </w:style>
  <w:style w:type="character" w:customStyle="1" w:styleId="uficommentbody">
    <w:name w:val="uficommentbody"/>
    <w:basedOn w:val="DefaultParagraphFont"/>
    <w:rsid w:val="00932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78368-7E88-483A-98EE-D6CEEB76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8</cp:revision>
  <cp:lastPrinted>2015-05-29T14:54:00Z</cp:lastPrinted>
  <dcterms:created xsi:type="dcterms:W3CDTF">2015-05-13T16:50:00Z</dcterms:created>
  <dcterms:modified xsi:type="dcterms:W3CDTF">2015-05-29T16:16:00Z</dcterms:modified>
</cp:coreProperties>
</file>