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FC" w:rsidRDefault="006125FC">
      <w:pPr>
        <w:pStyle w:val="DefaultText"/>
      </w:pPr>
      <w:r>
        <w:rPr>
          <w:b/>
          <w:u w:val="single"/>
        </w:rPr>
        <w:t>Minutes of the Meeting of Upton with Fi</w:t>
      </w:r>
      <w:r w:rsidR="00DF2B26">
        <w:rPr>
          <w:b/>
          <w:u w:val="single"/>
        </w:rPr>
        <w:t>shley Parish Council held on Thurs</w:t>
      </w:r>
      <w:r w:rsidR="00673C8C">
        <w:rPr>
          <w:b/>
          <w:u w:val="single"/>
        </w:rPr>
        <w:t>day, 9th April</w:t>
      </w:r>
      <w:r w:rsidR="00027724">
        <w:rPr>
          <w:b/>
          <w:u w:val="single"/>
        </w:rPr>
        <w:t xml:space="preserve"> </w:t>
      </w:r>
      <w:r w:rsidR="006E6D7A">
        <w:rPr>
          <w:b/>
          <w:u w:val="single"/>
        </w:rPr>
        <w:t>2015</w:t>
      </w:r>
      <w:r>
        <w:rPr>
          <w:b/>
          <w:u w:val="single"/>
        </w:rPr>
        <w:t xml:space="preserve"> in the Village Hall</w:t>
      </w:r>
    </w:p>
    <w:p w:rsidR="00631328" w:rsidRDefault="00631328">
      <w:pPr>
        <w:pStyle w:val="DefaultText"/>
        <w:rPr>
          <w:b/>
          <w:u w:val="single"/>
        </w:rPr>
      </w:pPr>
    </w:p>
    <w:p w:rsidR="006125FC" w:rsidRDefault="006125FC">
      <w:pPr>
        <w:pStyle w:val="DefaultText"/>
      </w:pPr>
      <w:r>
        <w:rPr>
          <w:b/>
          <w:u w:val="single"/>
        </w:rPr>
        <w:t>Present:</w:t>
      </w:r>
    </w:p>
    <w:p w:rsidR="005F2D98" w:rsidRDefault="006125FC" w:rsidP="00E6637F">
      <w:pPr>
        <w:pStyle w:val="DefaultText"/>
      </w:pPr>
      <w:r>
        <w:t xml:space="preserve">Mr Crane </w:t>
      </w:r>
      <w:r>
        <w:tab/>
      </w:r>
      <w:r>
        <w:tab/>
      </w:r>
      <w:r w:rsidR="00BC5CF4">
        <w:t>Mr Armes</w:t>
      </w:r>
      <w:r w:rsidR="00BC5CF4">
        <w:tab/>
      </w:r>
      <w:r w:rsidR="00BC5CF4">
        <w:tab/>
      </w:r>
      <w:r>
        <w:t>Mrs Whelpton</w:t>
      </w:r>
      <w:r w:rsidR="00C91CC1">
        <w:tab/>
      </w:r>
      <w:r w:rsidR="00C91CC1">
        <w:tab/>
      </w:r>
    </w:p>
    <w:p w:rsidR="007C578C" w:rsidRDefault="00E6637F" w:rsidP="00E6637F">
      <w:pPr>
        <w:pStyle w:val="DefaultText"/>
      </w:pPr>
      <w:r>
        <w:t>Mr Leonard-Morgan</w:t>
      </w:r>
      <w:r w:rsidR="005F2D98">
        <w:tab/>
      </w:r>
      <w:r w:rsidR="007C578C">
        <w:t>Mrs Pitchers</w:t>
      </w:r>
      <w:r w:rsidR="001A7E78">
        <w:tab/>
      </w:r>
      <w:r w:rsidR="001A7E78">
        <w:tab/>
        <w:t>Mr Brown</w:t>
      </w:r>
    </w:p>
    <w:p w:rsidR="00631328" w:rsidRDefault="00631328" w:rsidP="00E6637F">
      <w:pPr>
        <w:pStyle w:val="DefaultText"/>
      </w:pPr>
    </w:p>
    <w:p w:rsidR="00631328" w:rsidRPr="00631328" w:rsidRDefault="00631328" w:rsidP="00631328">
      <w:pPr>
        <w:pStyle w:val="DefaultText"/>
      </w:pPr>
      <w:r>
        <w:t xml:space="preserve">There were three members of the public present. </w:t>
      </w:r>
    </w:p>
    <w:p w:rsidR="006125FC" w:rsidRDefault="006125FC">
      <w:pPr>
        <w:pStyle w:val="DefaultText"/>
      </w:pPr>
    </w:p>
    <w:p w:rsidR="006125FC" w:rsidRDefault="006125FC">
      <w:pPr>
        <w:pStyle w:val="DefaultText"/>
        <w:rPr>
          <w:b/>
          <w:u w:val="single"/>
        </w:rPr>
      </w:pPr>
      <w:r>
        <w:rPr>
          <w:b/>
          <w:u w:val="single"/>
        </w:rPr>
        <w:t>Apologies:</w:t>
      </w:r>
    </w:p>
    <w:p w:rsidR="00E16BFF" w:rsidRDefault="005F2D98">
      <w:pPr>
        <w:pStyle w:val="DefaultText"/>
      </w:pPr>
      <w:r>
        <w:t>Mrs Durrant</w:t>
      </w:r>
    </w:p>
    <w:p w:rsidR="005A2921" w:rsidRDefault="005F2D98">
      <w:pPr>
        <w:pStyle w:val="DefaultText"/>
      </w:pPr>
      <w:r>
        <w:t>PCSO Paul McAllister</w:t>
      </w:r>
    </w:p>
    <w:p w:rsidR="005A2921" w:rsidRPr="00E16BFF" w:rsidRDefault="005A2921">
      <w:pPr>
        <w:pStyle w:val="DefaultText"/>
      </w:pPr>
    </w:p>
    <w:p w:rsidR="006125FC" w:rsidRDefault="006125FC">
      <w:pPr>
        <w:pStyle w:val="DefaultText"/>
      </w:pPr>
      <w:r>
        <w:rPr>
          <w:b/>
          <w:u w:val="single"/>
        </w:rPr>
        <w:t>Declarations of Interests in Items on the Agenda</w:t>
      </w:r>
      <w:r w:rsidR="001A7E78">
        <w:rPr>
          <w:b/>
          <w:u w:val="single"/>
        </w:rPr>
        <w:t xml:space="preserve"> and Requests for Dispensations</w:t>
      </w:r>
      <w:r>
        <w:rPr>
          <w:b/>
          <w:u w:val="single"/>
        </w:rPr>
        <w:t>:</w:t>
      </w:r>
    </w:p>
    <w:p w:rsidR="00B9232F" w:rsidRDefault="00B9232F" w:rsidP="00B9232F">
      <w:pPr>
        <w:pStyle w:val="DefaultText"/>
      </w:pPr>
      <w:r>
        <w:t>Anne Whelpton reminded councillors of</w:t>
      </w:r>
      <w:r w:rsidR="005F2D98">
        <w:t xml:space="preserve"> her interest in the boat dyke.  </w:t>
      </w:r>
      <w:r w:rsidR="00DE4E8A">
        <w:t xml:space="preserve">Mike Brown </w:t>
      </w:r>
      <w:r>
        <w:t>r</w:t>
      </w:r>
      <w:r w:rsidR="005F2D98">
        <w:t>eminded the meeting that he</w:t>
      </w:r>
      <w:r w:rsidR="0004337F">
        <w:t xml:space="preserve"> </w:t>
      </w:r>
      <w:r w:rsidR="005F2D98">
        <w:t>has</w:t>
      </w:r>
      <w:r>
        <w:t xml:space="preserve"> sha</w:t>
      </w:r>
      <w:r w:rsidR="0004337F">
        <w:t>res in The White Horse pub.</w:t>
      </w:r>
    </w:p>
    <w:p w:rsidR="006125FC" w:rsidRDefault="006125FC">
      <w:pPr>
        <w:pStyle w:val="DefaultText"/>
        <w:rPr>
          <w:b/>
          <w:u w:val="single"/>
        </w:rPr>
      </w:pPr>
    </w:p>
    <w:p w:rsidR="006125FC" w:rsidRDefault="006125FC">
      <w:pPr>
        <w:pStyle w:val="DefaultText"/>
      </w:pPr>
      <w:r>
        <w:rPr>
          <w:b/>
          <w:u w:val="single"/>
        </w:rPr>
        <w:t>Minutes:</w:t>
      </w:r>
    </w:p>
    <w:p w:rsidR="006125FC" w:rsidRDefault="006125FC">
      <w:pPr>
        <w:pStyle w:val="DefaultText"/>
      </w:pPr>
      <w:r>
        <w:t>The minutes of the Parish Council me</w:t>
      </w:r>
      <w:r w:rsidR="0004337F">
        <w:t>etings held on 12</w:t>
      </w:r>
      <w:r w:rsidR="00D0712F" w:rsidRPr="00D0712F">
        <w:rPr>
          <w:vertAlign w:val="superscript"/>
        </w:rPr>
        <w:t>th</w:t>
      </w:r>
      <w:r w:rsidR="0004337F">
        <w:t xml:space="preserve"> March</w:t>
      </w:r>
      <w:r w:rsidR="00E72782">
        <w:t xml:space="preserve"> </w:t>
      </w:r>
      <w:r w:rsidR="00DE4E8A">
        <w:t>2015</w:t>
      </w:r>
      <w:r w:rsidR="00F86051">
        <w:t xml:space="preserve"> </w:t>
      </w:r>
      <w:r>
        <w:t>were agreed to be correct, and were signed by Nicholas Cra</w:t>
      </w:r>
      <w:r w:rsidR="00DF2B26">
        <w:t>ne, as Chairman of the Parish Co</w:t>
      </w:r>
      <w:r>
        <w:t>uncil.</w:t>
      </w:r>
    </w:p>
    <w:p w:rsidR="006125FC" w:rsidRDefault="006125FC">
      <w:pPr>
        <w:pStyle w:val="DefaultText"/>
      </w:pPr>
    </w:p>
    <w:p w:rsidR="006125FC" w:rsidRDefault="006125FC">
      <w:pPr>
        <w:pStyle w:val="DefaultText"/>
        <w:rPr>
          <w:b/>
          <w:u w:val="single"/>
        </w:rPr>
      </w:pPr>
      <w:r>
        <w:rPr>
          <w:b/>
          <w:u w:val="single"/>
        </w:rPr>
        <w:t>Matters Arising:</w:t>
      </w:r>
    </w:p>
    <w:p w:rsidR="00215BC6" w:rsidRDefault="00AB2894" w:rsidP="00631328">
      <w:pPr>
        <w:pStyle w:val="DefaultText"/>
        <w:numPr>
          <w:ilvl w:val="0"/>
          <w:numId w:val="3"/>
        </w:numPr>
        <w:ind w:left="426" w:hanging="426"/>
      </w:pPr>
      <w:r>
        <w:t>The written report has been received from the structural engineer for the churchyard wall. He states, “whilst I recognise that the wall is in poor condition I do not think that it is at imminent risk of failure. It is clear that parts of the wall have rotated but there is no obvious evidence to suggest that this has been recent or is progressive.”</w:t>
      </w:r>
      <w:r w:rsidR="005C2A3C">
        <w:t xml:space="preserve"> The report has been forwarded to the Parochial Church Council and to the owners of the adjacent </w:t>
      </w:r>
      <w:r w:rsidR="005474BD">
        <w:t>Vicarage</w:t>
      </w:r>
      <w:r w:rsidR="005C2A3C">
        <w:t>.</w:t>
      </w:r>
      <w:r w:rsidR="005474BD">
        <w:t xml:space="preserve"> </w:t>
      </w:r>
    </w:p>
    <w:p w:rsidR="006125FC" w:rsidRDefault="005474BD" w:rsidP="00631328">
      <w:pPr>
        <w:pStyle w:val="DefaultText"/>
        <w:ind w:left="426" w:hanging="66"/>
      </w:pPr>
      <w:r>
        <w:t>The previous owners stated that they did not have any evidence as to the true boundary but did not regard the boundary trees</w:t>
      </w:r>
      <w:r w:rsidR="00215BC6">
        <w:t xml:space="preserve"> as belonging to them.</w:t>
      </w:r>
    </w:p>
    <w:p w:rsidR="006C2015" w:rsidRDefault="006C2015" w:rsidP="00CB4E78">
      <w:pPr>
        <w:pStyle w:val="DefaultText"/>
      </w:pPr>
    </w:p>
    <w:p w:rsidR="006C2015" w:rsidRDefault="006C2015" w:rsidP="00631328">
      <w:pPr>
        <w:pStyle w:val="DefaultText"/>
        <w:numPr>
          <w:ilvl w:val="0"/>
          <w:numId w:val="3"/>
        </w:numPr>
        <w:ind w:left="426" w:hanging="426"/>
      </w:pPr>
      <w:r>
        <w:t>The White Horse management committee was pleased to accept the offer of a loan of £2,000 towards the completion of the community shop. The official opening of the shop is on 14</w:t>
      </w:r>
      <w:r w:rsidRPr="006C2015">
        <w:rPr>
          <w:vertAlign w:val="superscript"/>
        </w:rPr>
        <w:t>th</w:t>
      </w:r>
      <w:r>
        <w:t xml:space="preserve"> April at 4.30 pm</w:t>
      </w:r>
      <w:r w:rsidR="00CB4E78">
        <w:t>.</w:t>
      </w:r>
    </w:p>
    <w:p w:rsidR="006125FC" w:rsidRDefault="006125FC">
      <w:pPr>
        <w:pStyle w:val="DefaultText"/>
        <w:rPr>
          <w:b/>
          <w:u w:val="single"/>
        </w:rPr>
      </w:pPr>
    </w:p>
    <w:p w:rsidR="006125FC" w:rsidRDefault="006125FC">
      <w:pPr>
        <w:pStyle w:val="DefaultText"/>
        <w:rPr>
          <w:b/>
          <w:u w:val="single"/>
        </w:rPr>
      </w:pPr>
      <w:r>
        <w:rPr>
          <w:b/>
          <w:u w:val="single"/>
        </w:rPr>
        <w:t>Correspondence:</w:t>
      </w:r>
    </w:p>
    <w:p w:rsidR="006125FC" w:rsidRPr="006C2015" w:rsidRDefault="00631328" w:rsidP="00631328">
      <w:pPr>
        <w:pStyle w:val="DefaultText"/>
        <w:numPr>
          <w:ilvl w:val="0"/>
          <w:numId w:val="4"/>
        </w:numPr>
        <w:ind w:left="426" w:hanging="426"/>
        <w:rPr>
          <w:b/>
          <w:u w:val="single"/>
        </w:rPr>
      </w:pPr>
      <w:r>
        <w:t>The clerk finalised</w:t>
      </w:r>
      <w:r w:rsidR="00215BC6">
        <w:t xml:space="preserve"> a contract with Berryman for the glass recycling bank at the boat dyke car park, with effect from 1</w:t>
      </w:r>
      <w:r w:rsidR="00215BC6" w:rsidRPr="00215BC6">
        <w:rPr>
          <w:vertAlign w:val="superscript"/>
        </w:rPr>
        <w:t>st</w:t>
      </w:r>
      <w:r w:rsidR="00215BC6">
        <w:t xml:space="preserve"> April 2015; </w:t>
      </w:r>
      <w:r w:rsidR="006C2015">
        <w:t>the charge is £15 per tonne collected. The recycling facility has also been registered with Norfolk County Council.</w:t>
      </w:r>
      <w:r>
        <w:t xml:space="preserve">  Ginny Pitchers reported that some residents are collecting rubbish around the village, on a voluntary basis.</w:t>
      </w:r>
    </w:p>
    <w:p w:rsidR="006C2015" w:rsidRDefault="006C2015" w:rsidP="006C2015">
      <w:pPr>
        <w:pStyle w:val="DefaultText"/>
      </w:pPr>
    </w:p>
    <w:p w:rsidR="006C2015" w:rsidRPr="00631328" w:rsidRDefault="006C2015" w:rsidP="00631328">
      <w:pPr>
        <w:pStyle w:val="DefaultText"/>
        <w:numPr>
          <w:ilvl w:val="0"/>
          <w:numId w:val="4"/>
        </w:numPr>
        <w:ind w:left="426" w:hanging="426"/>
        <w:rPr>
          <w:b/>
          <w:u w:val="single"/>
        </w:rPr>
      </w:pPr>
      <w:r>
        <w:t>Posters have been received for the forthcoming parliamentary, district and parish council elections</w:t>
      </w:r>
      <w:r w:rsidR="00631328">
        <w:t>.</w:t>
      </w:r>
    </w:p>
    <w:p w:rsidR="00631328" w:rsidRDefault="00631328" w:rsidP="00631328">
      <w:pPr>
        <w:pStyle w:val="ListParagraph"/>
        <w:rPr>
          <w:b/>
          <w:u w:val="single"/>
        </w:rPr>
      </w:pPr>
    </w:p>
    <w:p w:rsidR="00631328" w:rsidRPr="00CB4E78" w:rsidRDefault="00631328" w:rsidP="00631328">
      <w:pPr>
        <w:pStyle w:val="DefaultText"/>
        <w:numPr>
          <w:ilvl w:val="0"/>
          <w:numId w:val="4"/>
        </w:numPr>
        <w:ind w:left="426" w:hanging="426"/>
        <w:rPr>
          <w:b/>
          <w:u w:val="single"/>
        </w:rPr>
      </w:pPr>
      <w:r>
        <w:t>Nicholas Crane reported that someone is hitting golf balls into the field south of the Playing Field. As the inside of golf balls is poisonous it is very important that they do not end up in food production. He asked residents to be vigilant.</w:t>
      </w:r>
    </w:p>
    <w:p w:rsidR="00CB4E78" w:rsidRDefault="00CB4E78" w:rsidP="00CB4E78">
      <w:pPr>
        <w:pStyle w:val="ListParagraph"/>
        <w:rPr>
          <w:b/>
          <w:u w:val="single"/>
        </w:rPr>
      </w:pPr>
    </w:p>
    <w:p w:rsidR="00CB4E78" w:rsidRPr="00631328" w:rsidRDefault="00CB4E78" w:rsidP="00CB4E78">
      <w:pPr>
        <w:pStyle w:val="DefaultText"/>
        <w:ind w:left="426"/>
        <w:rPr>
          <w:b/>
          <w:u w:val="single"/>
        </w:rPr>
      </w:pPr>
    </w:p>
    <w:tbl>
      <w:tblPr>
        <w:tblW w:w="0" w:type="auto"/>
        <w:tblLook w:val="04A0"/>
      </w:tblPr>
      <w:tblGrid>
        <w:gridCol w:w="4788"/>
        <w:gridCol w:w="1274"/>
      </w:tblGrid>
      <w:tr w:rsidR="00BF3B29" w:rsidRPr="003377A8" w:rsidTr="003377A8">
        <w:tc>
          <w:tcPr>
            <w:tcW w:w="4788" w:type="dxa"/>
          </w:tcPr>
          <w:p w:rsidR="00BF3B29" w:rsidRPr="003377A8" w:rsidRDefault="00BF3B29">
            <w:pPr>
              <w:pStyle w:val="DefaultText"/>
              <w:rPr>
                <w:b/>
                <w:u w:val="single"/>
              </w:rPr>
            </w:pPr>
            <w:r w:rsidRPr="003377A8">
              <w:rPr>
                <w:b/>
                <w:u w:val="single"/>
              </w:rPr>
              <w:t>Treasurer’s Report:</w:t>
            </w:r>
          </w:p>
        </w:tc>
        <w:tc>
          <w:tcPr>
            <w:tcW w:w="1274" w:type="dxa"/>
          </w:tcPr>
          <w:p w:rsidR="00BF3B29" w:rsidRPr="00BF3B29" w:rsidRDefault="00BF3B29" w:rsidP="003377A8">
            <w:pPr>
              <w:pStyle w:val="DefaultText"/>
              <w:jc w:val="right"/>
            </w:pPr>
            <w:r>
              <w:t>£</w:t>
            </w:r>
          </w:p>
        </w:tc>
      </w:tr>
      <w:tr w:rsidR="00BF3B29" w:rsidRPr="003377A8" w:rsidTr="003377A8">
        <w:tc>
          <w:tcPr>
            <w:tcW w:w="4788" w:type="dxa"/>
          </w:tcPr>
          <w:p w:rsidR="00BF3B29" w:rsidRPr="00BF3B29" w:rsidRDefault="00410E9A">
            <w:pPr>
              <w:pStyle w:val="DefaultText"/>
            </w:pPr>
            <w:r>
              <w:t>Balance b/f at 12</w:t>
            </w:r>
            <w:r w:rsidR="00BF3B29" w:rsidRPr="003377A8">
              <w:rPr>
                <w:vertAlign w:val="superscript"/>
              </w:rPr>
              <w:t>th</w:t>
            </w:r>
            <w:r>
              <w:t xml:space="preserve"> March</w:t>
            </w:r>
            <w:r w:rsidR="00BF3B29">
              <w:t xml:space="preserve"> 201</w:t>
            </w:r>
            <w:r w:rsidR="00DE4E8A">
              <w:t>5</w:t>
            </w:r>
          </w:p>
        </w:tc>
        <w:tc>
          <w:tcPr>
            <w:tcW w:w="1274" w:type="dxa"/>
          </w:tcPr>
          <w:p w:rsidR="00BF3B29" w:rsidRPr="00BF3B29" w:rsidRDefault="00715E23" w:rsidP="003377A8">
            <w:pPr>
              <w:pStyle w:val="DefaultText"/>
              <w:jc w:val="right"/>
            </w:pPr>
            <w:r>
              <w:t>16,286.5</w:t>
            </w:r>
            <w:r w:rsidR="00410E9A">
              <w:t>9</w:t>
            </w:r>
          </w:p>
        </w:tc>
      </w:tr>
      <w:tr w:rsidR="00BF3B29" w:rsidRPr="003377A8" w:rsidTr="003377A8">
        <w:tc>
          <w:tcPr>
            <w:tcW w:w="4788" w:type="dxa"/>
          </w:tcPr>
          <w:p w:rsidR="00BF3B29" w:rsidRPr="003377A8" w:rsidRDefault="00BF3B29">
            <w:pPr>
              <w:pStyle w:val="DefaultText"/>
              <w:rPr>
                <w:b/>
              </w:rPr>
            </w:pPr>
            <w:r w:rsidRPr="003377A8">
              <w:rPr>
                <w:b/>
              </w:rPr>
              <w:t>Receipts:</w:t>
            </w:r>
          </w:p>
        </w:tc>
        <w:tc>
          <w:tcPr>
            <w:tcW w:w="1274" w:type="dxa"/>
          </w:tcPr>
          <w:p w:rsidR="00BF3B29" w:rsidRPr="003377A8" w:rsidRDefault="00BF3B29" w:rsidP="003377A8">
            <w:pPr>
              <w:pStyle w:val="DefaultText"/>
              <w:jc w:val="right"/>
              <w:rPr>
                <w:b/>
                <w:u w:val="single"/>
              </w:rPr>
            </w:pPr>
          </w:p>
        </w:tc>
      </w:tr>
      <w:tr w:rsidR="00BF3B29" w:rsidRPr="003377A8" w:rsidTr="003377A8">
        <w:tc>
          <w:tcPr>
            <w:tcW w:w="4788" w:type="dxa"/>
          </w:tcPr>
          <w:p w:rsidR="00BF3B29" w:rsidRPr="00BF3B29" w:rsidRDefault="00BF3B29">
            <w:pPr>
              <w:pStyle w:val="DefaultText"/>
            </w:pPr>
            <w:r>
              <w:t>Mooring fees</w:t>
            </w:r>
          </w:p>
        </w:tc>
        <w:tc>
          <w:tcPr>
            <w:tcW w:w="1274" w:type="dxa"/>
          </w:tcPr>
          <w:p w:rsidR="00BF3B29" w:rsidRPr="00BF3B29" w:rsidRDefault="00715E23" w:rsidP="003377A8">
            <w:pPr>
              <w:pStyle w:val="DefaultText"/>
              <w:jc w:val="right"/>
            </w:pPr>
            <w:r>
              <w:t>6,203.10</w:t>
            </w:r>
          </w:p>
        </w:tc>
      </w:tr>
      <w:tr w:rsidR="00BF3B29" w:rsidRPr="003377A8" w:rsidTr="003377A8">
        <w:tc>
          <w:tcPr>
            <w:tcW w:w="4788" w:type="dxa"/>
          </w:tcPr>
          <w:p w:rsidR="00BF3B29" w:rsidRPr="00BF3B29" w:rsidRDefault="00BF3B29">
            <w:pPr>
              <w:pStyle w:val="DefaultText"/>
            </w:pPr>
            <w:r w:rsidRPr="00BF3B29">
              <w:t>Grazing fee</w:t>
            </w:r>
            <w:r>
              <w:t xml:space="preserve"> </w:t>
            </w:r>
          </w:p>
        </w:tc>
        <w:tc>
          <w:tcPr>
            <w:tcW w:w="1274" w:type="dxa"/>
          </w:tcPr>
          <w:p w:rsidR="00BF3B29" w:rsidRPr="00BF3B29" w:rsidRDefault="00715E23" w:rsidP="003377A8">
            <w:pPr>
              <w:pStyle w:val="DefaultText"/>
              <w:jc w:val="right"/>
            </w:pPr>
            <w:r>
              <w:t>90.00</w:t>
            </w:r>
          </w:p>
        </w:tc>
      </w:tr>
      <w:tr w:rsidR="00BF3B29" w:rsidRPr="003377A8" w:rsidTr="003377A8">
        <w:tc>
          <w:tcPr>
            <w:tcW w:w="4788" w:type="dxa"/>
          </w:tcPr>
          <w:p w:rsidR="00BF3B29" w:rsidRPr="00BF3B29" w:rsidRDefault="00BF3B29">
            <w:pPr>
              <w:pStyle w:val="DefaultText"/>
            </w:pPr>
            <w:r>
              <w:t>VAT refund</w:t>
            </w:r>
          </w:p>
        </w:tc>
        <w:tc>
          <w:tcPr>
            <w:tcW w:w="1274" w:type="dxa"/>
          </w:tcPr>
          <w:p w:rsidR="00BF3B29" w:rsidRPr="00BF3B29" w:rsidRDefault="00BF3B29" w:rsidP="003377A8">
            <w:pPr>
              <w:pStyle w:val="DefaultText"/>
              <w:jc w:val="right"/>
            </w:pPr>
            <w:r>
              <w:t>3</w:t>
            </w:r>
            <w:r w:rsidR="00410E9A">
              <w:t>37.42</w:t>
            </w:r>
          </w:p>
        </w:tc>
      </w:tr>
      <w:tr w:rsidR="00BF3B29" w:rsidRPr="003377A8" w:rsidTr="003377A8">
        <w:tc>
          <w:tcPr>
            <w:tcW w:w="4788" w:type="dxa"/>
          </w:tcPr>
          <w:p w:rsidR="00BF3B29" w:rsidRPr="001528F9" w:rsidRDefault="001528F9">
            <w:pPr>
              <w:pStyle w:val="DefaultText"/>
              <w:rPr>
                <w:b/>
              </w:rPr>
            </w:pPr>
            <w:r w:rsidRPr="001528F9">
              <w:rPr>
                <w:b/>
              </w:rPr>
              <w:t>Online payments:</w:t>
            </w:r>
          </w:p>
        </w:tc>
        <w:tc>
          <w:tcPr>
            <w:tcW w:w="1274" w:type="dxa"/>
          </w:tcPr>
          <w:p w:rsidR="00BF3B29" w:rsidRDefault="00BF3B29" w:rsidP="003377A8">
            <w:pPr>
              <w:pStyle w:val="DefaultText"/>
              <w:jc w:val="right"/>
            </w:pPr>
          </w:p>
        </w:tc>
      </w:tr>
      <w:tr w:rsidR="001528F9" w:rsidRPr="003377A8" w:rsidTr="003377A8">
        <w:tc>
          <w:tcPr>
            <w:tcW w:w="4788" w:type="dxa"/>
          </w:tcPr>
          <w:p w:rsidR="001528F9" w:rsidRDefault="001528F9">
            <w:pPr>
              <w:pStyle w:val="DefaultText"/>
            </w:pPr>
            <w:r>
              <w:t>P James – clerk’s fee and expenses - SO</w:t>
            </w:r>
          </w:p>
        </w:tc>
        <w:tc>
          <w:tcPr>
            <w:tcW w:w="1274" w:type="dxa"/>
          </w:tcPr>
          <w:p w:rsidR="001528F9" w:rsidRDefault="001528F9" w:rsidP="003377A8">
            <w:pPr>
              <w:pStyle w:val="DefaultText"/>
              <w:jc w:val="right"/>
            </w:pPr>
            <w:r>
              <w:t>300.00</w:t>
            </w:r>
          </w:p>
        </w:tc>
      </w:tr>
      <w:tr w:rsidR="001528F9" w:rsidRPr="003377A8" w:rsidTr="003377A8">
        <w:tc>
          <w:tcPr>
            <w:tcW w:w="4788" w:type="dxa"/>
          </w:tcPr>
          <w:p w:rsidR="001528F9" w:rsidRDefault="001528F9" w:rsidP="001528F9">
            <w:pPr>
              <w:pStyle w:val="DefaultText"/>
              <w:numPr>
                <w:ilvl w:val="0"/>
                <w:numId w:val="2"/>
              </w:numPr>
            </w:pPr>
            <w:r>
              <w:t>balance</w:t>
            </w:r>
          </w:p>
        </w:tc>
        <w:tc>
          <w:tcPr>
            <w:tcW w:w="1274" w:type="dxa"/>
          </w:tcPr>
          <w:p w:rsidR="001528F9" w:rsidRDefault="001528F9" w:rsidP="003377A8">
            <w:pPr>
              <w:pStyle w:val="DefaultText"/>
              <w:jc w:val="right"/>
            </w:pPr>
            <w:r>
              <w:t>50.48</w:t>
            </w:r>
          </w:p>
        </w:tc>
      </w:tr>
      <w:tr w:rsidR="003F25AE" w:rsidRPr="003377A8" w:rsidTr="003377A8">
        <w:tc>
          <w:tcPr>
            <w:tcW w:w="4788" w:type="dxa"/>
          </w:tcPr>
          <w:p w:rsidR="003F25AE" w:rsidRDefault="003F25AE">
            <w:pPr>
              <w:pStyle w:val="DefaultText"/>
            </w:pPr>
            <w:r>
              <w:t>Norfolk Pension Fund</w:t>
            </w:r>
          </w:p>
        </w:tc>
        <w:tc>
          <w:tcPr>
            <w:tcW w:w="1274" w:type="dxa"/>
          </w:tcPr>
          <w:p w:rsidR="003F25AE" w:rsidRDefault="001528F9" w:rsidP="003377A8">
            <w:pPr>
              <w:pStyle w:val="DefaultText"/>
              <w:jc w:val="right"/>
            </w:pPr>
            <w:r>
              <w:t>106.79</w:t>
            </w:r>
          </w:p>
        </w:tc>
      </w:tr>
      <w:tr w:rsidR="003F25AE" w:rsidRPr="003377A8" w:rsidTr="003377A8">
        <w:tc>
          <w:tcPr>
            <w:tcW w:w="4788" w:type="dxa"/>
          </w:tcPr>
          <w:p w:rsidR="003F25AE" w:rsidRDefault="001528F9">
            <w:pPr>
              <w:pStyle w:val="DefaultText"/>
            </w:pPr>
            <w:r>
              <w:t>Acle Parish Council – share of expenses</w:t>
            </w:r>
          </w:p>
        </w:tc>
        <w:tc>
          <w:tcPr>
            <w:tcW w:w="1274" w:type="dxa"/>
          </w:tcPr>
          <w:p w:rsidR="003F25AE" w:rsidRDefault="001528F9" w:rsidP="003377A8">
            <w:pPr>
              <w:pStyle w:val="DefaultText"/>
              <w:jc w:val="right"/>
            </w:pPr>
            <w:r>
              <w:t>36.58</w:t>
            </w:r>
          </w:p>
        </w:tc>
      </w:tr>
      <w:tr w:rsidR="003F25AE" w:rsidRPr="003377A8" w:rsidTr="003377A8">
        <w:tc>
          <w:tcPr>
            <w:tcW w:w="4788" w:type="dxa"/>
          </w:tcPr>
          <w:p w:rsidR="003F25AE" w:rsidRDefault="00A61C01">
            <w:pPr>
              <w:pStyle w:val="DefaultText"/>
            </w:pPr>
            <w:r>
              <w:t>John Plummer - engineer</w:t>
            </w:r>
          </w:p>
        </w:tc>
        <w:tc>
          <w:tcPr>
            <w:tcW w:w="1274" w:type="dxa"/>
          </w:tcPr>
          <w:p w:rsidR="003F25AE" w:rsidRDefault="00A61C01" w:rsidP="003377A8">
            <w:pPr>
              <w:pStyle w:val="DefaultText"/>
              <w:jc w:val="right"/>
            </w:pPr>
            <w:r>
              <w:t>420.00</w:t>
            </w:r>
          </w:p>
        </w:tc>
      </w:tr>
      <w:tr w:rsidR="003F25AE" w:rsidRPr="003377A8" w:rsidTr="003377A8">
        <w:tc>
          <w:tcPr>
            <w:tcW w:w="4788" w:type="dxa"/>
          </w:tcPr>
          <w:p w:rsidR="003F25AE" w:rsidRDefault="00A61C01">
            <w:pPr>
              <w:pStyle w:val="DefaultText"/>
            </w:pPr>
            <w:r>
              <w:t>Whitworth Partnership - architect</w:t>
            </w:r>
          </w:p>
        </w:tc>
        <w:tc>
          <w:tcPr>
            <w:tcW w:w="1274" w:type="dxa"/>
          </w:tcPr>
          <w:p w:rsidR="003F25AE" w:rsidRDefault="00A61C01" w:rsidP="003377A8">
            <w:pPr>
              <w:pStyle w:val="DefaultText"/>
              <w:jc w:val="right"/>
            </w:pPr>
            <w:r>
              <w:t>466.80</w:t>
            </w:r>
          </w:p>
        </w:tc>
      </w:tr>
      <w:tr w:rsidR="003F25AE" w:rsidRPr="003377A8" w:rsidTr="003377A8">
        <w:tc>
          <w:tcPr>
            <w:tcW w:w="4788" w:type="dxa"/>
          </w:tcPr>
          <w:p w:rsidR="003F25AE" w:rsidRDefault="00A61C01">
            <w:pPr>
              <w:pStyle w:val="DefaultText"/>
            </w:pPr>
            <w:r>
              <w:t>Nicholas Hancox - solicitor</w:t>
            </w:r>
          </w:p>
        </w:tc>
        <w:tc>
          <w:tcPr>
            <w:tcW w:w="1274" w:type="dxa"/>
          </w:tcPr>
          <w:p w:rsidR="003F25AE" w:rsidRDefault="00A61C01" w:rsidP="003377A8">
            <w:pPr>
              <w:pStyle w:val="DefaultText"/>
              <w:jc w:val="right"/>
            </w:pPr>
            <w:r>
              <w:t>2,381.40</w:t>
            </w:r>
          </w:p>
        </w:tc>
      </w:tr>
      <w:tr w:rsidR="00A61C01" w:rsidRPr="003377A8" w:rsidTr="003377A8">
        <w:tc>
          <w:tcPr>
            <w:tcW w:w="4788" w:type="dxa"/>
          </w:tcPr>
          <w:p w:rsidR="00A61C01" w:rsidRDefault="00A61C01">
            <w:pPr>
              <w:pStyle w:val="DefaultText"/>
            </w:pPr>
            <w:r>
              <w:t>HMRC- clerk’s PAYE</w:t>
            </w:r>
          </w:p>
        </w:tc>
        <w:tc>
          <w:tcPr>
            <w:tcW w:w="1274" w:type="dxa"/>
          </w:tcPr>
          <w:p w:rsidR="00A61C01" w:rsidRDefault="00A61C01" w:rsidP="003377A8">
            <w:pPr>
              <w:pStyle w:val="DefaultText"/>
              <w:jc w:val="right"/>
            </w:pPr>
            <w:r>
              <w:t>77.60</w:t>
            </w:r>
          </w:p>
        </w:tc>
      </w:tr>
      <w:tr w:rsidR="00A61C01" w:rsidRPr="003377A8" w:rsidTr="003377A8">
        <w:tc>
          <w:tcPr>
            <w:tcW w:w="4788" w:type="dxa"/>
          </w:tcPr>
          <w:p w:rsidR="00A61C01" w:rsidRDefault="00A61C01">
            <w:pPr>
              <w:pStyle w:val="DefaultText"/>
            </w:pPr>
            <w:r>
              <w:t>Parish Online – mapping agreement</w:t>
            </w:r>
          </w:p>
        </w:tc>
        <w:tc>
          <w:tcPr>
            <w:tcW w:w="1274" w:type="dxa"/>
          </w:tcPr>
          <w:p w:rsidR="00A61C01" w:rsidRDefault="00A61C01" w:rsidP="003377A8">
            <w:pPr>
              <w:pStyle w:val="DefaultText"/>
              <w:jc w:val="right"/>
            </w:pPr>
            <w:r>
              <w:t>33.60</w:t>
            </w:r>
          </w:p>
        </w:tc>
      </w:tr>
      <w:tr w:rsidR="00300C0E" w:rsidRPr="003377A8" w:rsidTr="003377A8">
        <w:tc>
          <w:tcPr>
            <w:tcW w:w="4788" w:type="dxa"/>
          </w:tcPr>
          <w:p w:rsidR="00300C0E" w:rsidRDefault="00300C0E">
            <w:pPr>
              <w:pStyle w:val="DefaultText"/>
            </w:pPr>
            <w:r>
              <w:t>HMRC - VAT</w:t>
            </w:r>
          </w:p>
        </w:tc>
        <w:tc>
          <w:tcPr>
            <w:tcW w:w="1274" w:type="dxa"/>
          </w:tcPr>
          <w:p w:rsidR="00300C0E" w:rsidRDefault="00300C0E" w:rsidP="003377A8">
            <w:pPr>
              <w:pStyle w:val="DefaultText"/>
              <w:jc w:val="right"/>
            </w:pPr>
            <w:r>
              <w:t>3,264.33</w:t>
            </w:r>
          </w:p>
        </w:tc>
      </w:tr>
      <w:tr w:rsidR="009569DB" w:rsidRPr="003377A8" w:rsidTr="003377A8">
        <w:tc>
          <w:tcPr>
            <w:tcW w:w="4788" w:type="dxa"/>
          </w:tcPr>
          <w:p w:rsidR="009569DB" w:rsidRDefault="009569DB">
            <w:pPr>
              <w:pStyle w:val="DefaultText"/>
            </w:pPr>
            <w:r>
              <w:t>Transfer to Active Saver</w:t>
            </w:r>
          </w:p>
        </w:tc>
        <w:tc>
          <w:tcPr>
            <w:tcW w:w="1274" w:type="dxa"/>
          </w:tcPr>
          <w:p w:rsidR="009569DB" w:rsidRDefault="009569DB" w:rsidP="003377A8">
            <w:pPr>
              <w:pStyle w:val="DefaultText"/>
              <w:jc w:val="right"/>
            </w:pPr>
            <w:r>
              <w:t>9,000.00</w:t>
            </w:r>
          </w:p>
        </w:tc>
      </w:tr>
      <w:tr w:rsidR="00DC551A" w:rsidRPr="003377A8" w:rsidTr="003377A8">
        <w:tc>
          <w:tcPr>
            <w:tcW w:w="4788" w:type="dxa"/>
          </w:tcPr>
          <w:p w:rsidR="00DC551A" w:rsidRDefault="00DC551A">
            <w:pPr>
              <w:pStyle w:val="DefaultText"/>
            </w:pPr>
            <w:r>
              <w:t>Transfer to savings</w:t>
            </w:r>
          </w:p>
        </w:tc>
        <w:tc>
          <w:tcPr>
            <w:tcW w:w="1274" w:type="dxa"/>
          </w:tcPr>
          <w:p w:rsidR="00DC551A" w:rsidRDefault="00DC551A" w:rsidP="003377A8">
            <w:pPr>
              <w:pStyle w:val="DefaultText"/>
              <w:jc w:val="right"/>
            </w:pPr>
            <w:r>
              <w:t>1,000.00</w:t>
            </w:r>
          </w:p>
        </w:tc>
      </w:tr>
      <w:tr w:rsidR="00A61C01" w:rsidRPr="003377A8" w:rsidTr="003377A8">
        <w:tc>
          <w:tcPr>
            <w:tcW w:w="4788" w:type="dxa"/>
          </w:tcPr>
          <w:p w:rsidR="00A61C01" w:rsidRDefault="00A61C01">
            <w:pPr>
              <w:pStyle w:val="DefaultText"/>
            </w:pPr>
            <w:r w:rsidRPr="003377A8">
              <w:rPr>
                <w:b/>
              </w:rPr>
              <w:t>Cheques for payment:</w:t>
            </w:r>
          </w:p>
        </w:tc>
        <w:tc>
          <w:tcPr>
            <w:tcW w:w="1274" w:type="dxa"/>
          </w:tcPr>
          <w:p w:rsidR="00A61C01" w:rsidRDefault="00A61C01" w:rsidP="003377A8">
            <w:pPr>
              <w:pStyle w:val="DefaultText"/>
              <w:jc w:val="right"/>
            </w:pPr>
          </w:p>
        </w:tc>
      </w:tr>
      <w:tr w:rsidR="00A61C01" w:rsidRPr="003377A8" w:rsidTr="003377A8">
        <w:tc>
          <w:tcPr>
            <w:tcW w:w="4788" w:type="dxa"/>
          </w:tcPr>
          <w:p w:rsidR="00A61C01" w:rsidRPr="00B6754B" w:rsidRDefault="00B6754B">
            <w:pPr>
              <w:pStyle w:val="DefaultText"/>
            </w:pPr>
            <w:r w:rsidRPr="00B6754B">
              <w:t>White Horse - loan</w:t>
            </w:r>
          </w:p>
        </w:tc>
        <w:tc>
          <w:tcPr>
            <w:tcW w:w="1274" w:type="dxa"/>
          </w:tcPr>
          <w:p w:rsidR="00A61C01" w:rsidRDefault="00B6754B" w:rsidP="003377A8">
            <w:pPr>
              <w:pStyle w:val="DefaultText"/>
              <w:jc w:val="right"/>
            </w:pPr>
            <w:r>
              <w:t>2,000.00</w:t>
            </w:r>
          </w:p>
        </w:tc>
      </w:tr>
      <w:tr w:rsidR="00A61C01" w:rsidRPr="003377A8" w:rsidTr="003377A8">
        <w:tc>
          <w:tcPr>
            <w:tcW w:w="4788" w:type="dxa"/>
          </w:tcPr>
          <w:p w:rsidR="00A61C01" w:rsidRPr="009569DB" w:rsidRDefault="009569DB">
            <w:pPr>
              <w:pStyle w:val="DefaultText"/>
            </w:pPr>
            <w:r w:rsidRPr="009569DB">
              <w:t>Nfk Rural Community Council - subs</w:t>
            </w:r>
          </w:p>
        </w:tc>
        <w:tc>
          <w:tcPr>
            <w:tcW w:w="1274" w:type="dxa"/>
          </w:tcPr>
          <w:p w:rsidR="00A61C01" w:rsidRDefault="009569DB" w:rsidP="003377A8">
            <w:pPr>
              <w:pStyle w:val="DefaultText"/>
              <w:jc w:val="right"/>
            </w:pPr>
            <w:r>
              <w:t>20.00</w:t>
            </w:r>
          </w:p>
        </w:tc>
      </w:tr>
      <w:tr w:rsidR="00A61C01" w:rsidRPr="003377A8" w:rsidTr="003377A8">
        <w:tc>
          <w:tcPr>
            <w:tcW w:w="4788" w:type="dxa"/>
          </w:tcPr>
          <w:p w:rsidR="00A61C01" w:rsidRPr="009569DB" w:rsidRDefault="009569DB">
            <w:pPr>
              <w:pStyle w:val="DefaultText"/>
            </w:pPr>
            <w:r>
              <w:t>Nfk Playing Fields Ass’n – subs</w:t>
            </w:r>
          </w:p>
        </w:tc>
        <w:tc>
          <w:tcPr>
            <w:tcW w:w="1274" w:type="dxa"/>
          </w:tcPr>
          <w:p w:rsidR="00A61C01" w:rsidRDefault="009569DB" w:rsidP="003377A8">
            <w:pPr>
              <w:pStyle w:val="DefaultText"/>
              <w:jc w:val="right"/>
            </w:pPr>
            <w:r>
              <w:t>20.00</w:t>
            </w:r>
          </w:p>
        </w:tc>
      </w:tr>
      <w:tr w:rsidR="00A61C01" w:rsidRPr="003377A8" w:rsidTr="003377A8">
        <w:tc>
          <w:tcPr>
            <w:tcW w:w="4788" w:type="dxa"/>
          </w:tcPr>
          <w:p w:rsidR="00A61C01" w:rsidRPr="009569DB" w:rsidRDefault="009569DB">
            <w:pPr>
              <w:pStyle w:val="DefaultText"/>
            </w:pPr>
            <w:r w:rsidRPr="009569DB">
              <w:t>Nfk AgeUK - donation</w:t>
            </w:r>
          </w:p>
        </w:tc>
        <w:tc>
          <w:tcPr>
            <w:tcW w:w="1274" w:type="dxa"/>
          </w:tcPr>
          <w:p w:rsidR="00A61C01" w:rsidRDefault="009569DB" w:rsidP="003377A8">
            <w:pPr>
              <w:pStyle w:val="DefaultText"/>
              <w:jc w:val="right"/>
            </w:pPr>
            <w:r>
              <w:t>50.00</w:t>
            </w:r>
          </w:p>
        </w:tc>
      </w:tr>
      <w:tr w:rsidR="00A61C01" w:rsidRPr="003377A8" w:rsidTr="003377A8">
        <w:tc>
          <w:tcPr>
            <w:tcW w:w="4788" w:type="dxa"/>
          </w:tcPr>
          <w:p w:rsidR="00A61C01" w:rsidRPr="009569DB" w:rsidRDefault="009569DB">
            <w:pPr>
              <w:pStyle w:val="DefaultText"/>
            </w:pPr>
            <w:r w:rsidRPr="009569DB">
              <w:t>Citizens Advice Bureau - donation</w:t>
            </w:r>
          </w:p>
        </w:tc>
        <w:tc>
          <w:tcPr>
            <w:tcW w:w="1274" w:type="dxa"/>
          </w:tcPr>
          <w:p w:rsidR="00A61C01" w:rsidRDefault="009569DB" w:rsidP="003377A8">
            <w:pPr>
              <w:pStyle w:val="DefaultText"/>
              <w:jc w:val="right"/>
            </w:pPr>
            <w:r>
              <w:t>50.00</w:t>
            </w:r>
          </w:p>
        </w:tc>
      </w:tr>
      <w:tr w:rsidR="009569DB" w:rsidRPr="003377A8" w:rsidTr="003377A8">
        <w:tc>
          <w:tcPr>
            <w:tcW w:w="4788" w:type="dxa"/>
          </w:tcPr>
          <w:p w:rsidR="009569DB" w:rsidRPr="009569DB" w:rsidRDefault="009569DB">
            <w:pPr>
              <w:pStyle w:val="DefaultText"/>
            </w:pPr>
            <w:r w:rsidRPr="009569DB">
              <w:t>Nfk ALC - subs</w:t>
            </w:r>
          </w:p>
        </w:tc>
        <w:tc>
          <w:tcPr>
            <w:tcW w:w="1274" w:type="dxa"/>
          </w:tcPr>
          <w:p w:rsidR="009569DB" w:rsidRDefault="009569DB" w:rsidP="003377A8">
            <w:pPr>
              <w:pStyle w:val="DefaultText"/>
              <w:jc w:val="right"/>
            </w:pPr>
            <w:r>
              <w:t>147.37</w:t>
            </w:r>
          </w:p>
        </w:tc>
      </w:tr>
      <w:tr w:rsidR="003F25AE" w:rsidRPr="003377A8" w:rsidTr="003377A8">
        <w:tc>
          <w:tcPr>
            <w:tcW w:w="4788" w:type="dxa"/>
          </w:tcPr>
          <w:p w:rsidR="003F25AE" w:rsidRDefault="003F25AE">
            <w:pPr>
              <w:pStyle w:val="DefaultText"/>
            </w:pPr>
            <w:r>
              <w:t>Garden Guardian – grasscutting</w:t>
            </w:r>
          </w:p>
        </w:tc>
        <w:tc>
          <w:tcPr>
            <w:tcW w:w="1274" w:type="dxa"/>
            <w:tcBorders>
              <w:bottom w:val="single" w:sz="4" w:space="0" w:color="auto"/>
            </w:tcBorders>
          </w:tcPr>
          <w:p w:rsidR="003F25AE" w:rsidRDefault="009569DB" w:rsidP="003377A8">
            <w:pPr>
              <w:pStyle w:val="DefaultText"/>
              <w:jc w:val="right"/>
            </w:pPr>
            <w:r>
              <w:t>868.35</w:t>
            </w:r>
          </w:p>
        </w:tc>
      </w:tr>
      <w:tr w:rsidR="003F25AE" w:rsidRPr="003377A8" w:rsidTr="003377A8">
        <w:tc>
          <w:tcPr>
            <w:tcW w:w="4788" w:type="dxa"/>
          </w:tcPr>
          <w:p w:rsidR="003F25AE" w:rsidRDefault="005526AE">
            <w:pPr>
              <w:pStyle w:val="DefaultText"/>
            </w:pPr>
            <w:r>
              <w:t>Balance c/f at 9</w:t>
            </w:r>
            <w:r w:rsidR="003F25AE" w:rsidRPr="003377A8">
              <w:rPr>
                <w:vertAlign w:val="superscript"/>
              </w:rPr>
              <w:t>th</w:t>
            </w:r>
            <w:r>
              <w:t xml:space="preserve"> April</w:t>
            </w:r>
            <w:r w:rsidR="006E6D7A">
              <w:t xml:space="preserve"> 2015</w:t>
            </w:r>
          </w:p>
        </w:tc>
        <w:tc>
          <w:tcPr>
            <w:tcW w:w="1274" w:type="dxa"/>
            <w:tcBorders>
              <w:top w:val="single" w:sz="4" w:space="0" w:color="auto"/>
            </w:tcBorders>
          </w:tcPr>
          <w:p w:rsidR="003F25AE" w:rsidRDefault="00DC551A" w:rsidP="003377A8">
            <w:pPr>
              <w:pStyle w:val="DefaultText"/>
              <w:jc w:val="right"/>
            </w:pPr>
            <w:r>
              <w:t>2</w:t>
            </w:r>
            <w:r w:rsidR="00300C0E">
              <w:t>,623.81</w:t>
            </w:r>
          </w:p>
        </w:tc>
      </w:tr>
      <w:tr w:rsidR="003F25AE" w:rsidRPr="003377A8" w:rsidTr="003377A8">
        <w:tc>
          <w:tcPr>
            <w:tcW w:w="4788" w:type="dxa"/>
          </w:tcPr>
          <w:p w:rsidR="003F25AE" w:rsidRDefault="003F25AE">
            <w:pPr>
              <w:pStyle w:val="DefaultText"/>
            </w:pPr>
            <w:r>
              <w:t>Savings Account</w:t>
            </w:r>
          </w:p>
        </w:tc>
        <w:tc>
          <w:tcPr>
            <w:tcW w:w="1274" w:type="dxa"/>
          </w:tcPr>
          <w:p w:rsidR="003F25AE" w:rsidRDefault="00C92394" w:rsidP="003377A8">
            <w:pPr>
              <w:pStyle w:val="DefaultText"/>
              <w:jc w:val="right"/>
            </w:pPr>
            <w:r>
              <w:t>4,908.82</w:t>
            </w:r>
          </w:p>
        </w:tc>
      </w:tr>
      <w:tr w:rsidR="003F25AE" w:rsidRPr="003377A8" w:rsidTr="003377A8">
        <w:tc>
          <w:tcPr>
            <w:tcW w:w="4788" w:type="dxa"/>
          </w:tcPr>
          <w:p w:rsidR="003F25AE" w:rsidRDefault="003F25AE">
            <w:pPr>
              <w:pStyle w:val="DefaultText"/>
            </w:pPr>
            <w:r>
              <w:t>Savings Account</w:t>
            </w:r>
          </w:p>
        </w:tc>
        <w:tc>
          <w:tcPr>
            <w:tcW w:w="1274" w:type="dxa"/>
          </w:tcPr>
          <w:p w:rsidR="003F25AE" w:rsidRDefault="003F25AE" w:rsidP="003377A8">
            <w:pPr>
              <w:pStyle w:val="DefaultText"/>
              <w:jc w:val="right"/>
            </w:pPr>
            <w:r>
              <w:t>0.29</w:t>
            </w:r>
          </w:p>
        </w:tc>
      </w:tr>
      <w:tr w:rsidR="003F25AE" w:rsidRPr="003377A8" w:rsidTr="003377A8">
        <w:tc>
          <w:tcPr>
            <w:tcW w:w="4788" w:type="dxa"/>
          </w:tcPr>
          <w:p w:rsidR="003F25AE" w:rsidRDefault="003F25AE">
            <w:pPr>
              <w:pStyle w:val="DefaultText"/>
            </w:pPr>
            <w:r>
              <w:t>Active Saver</w:t>
            </w:r>
          </w:p>
        </w:tc>
        <w:tc>
          <w:tcPr>
            <w:tcW w:w="1274" w:type="dxa"/>
          </w:tcPr>
          <w:p w:rsidR="003F25AE" w:rsidRDefault="009569DB" w:rsidP="003377A8">
            <w:pPr>
              <w:pStyle w:val="DefaultText"/>
              <w:jc w:val="right"/>
            </w:pPr>
            <w:r>
              <w:t>40</w:t>
            </w:r>
            <w:r w:rsidR="004C6C4D">
              <w:t>,382.00</w:t>
            </w:r>
          </w:p>
        </w:tc>
      </w:tr>
      <w:tr w:rsidR="003F25AE" w:rsidRPr="003377A8" w:rsidTr="003377A8">
        <w:tc>
          <w:tcPr>
            <w:tcW w:w="4788" w:type="dxa"/>
          </w:tcPr>
          <w:p w:rsidR="003F25AE" w:rsidRDefault="003F25AE">
            <w:pPr>
              <w:pStyle w:val="DefaultText"/>
            </w:pPr>
            <w:r>
              <w:t>Repairs and Renewals Account</w:t>
            </w:r>
          </w:p>
        </w:tc>
        <w:tc>
          <w:tcPr>
            <w:tcW w:w="1274" w:type="dxa"/>
            <w:tcBorders>
              <w:bottom w:val="single" w:sz="4" w:space="0" w:color="auto"/>
            </w:tcBorders>
          </w:tcPr>
          <w:p w:rsidR="003F25AE" w:rsidRDefault="007A7396" w:rsidP="003377A8">
            <w:pPr>
              <w:pStyle w:val="DefaultText"/>
              <w:jc w:val="right"/>
            </w:pPr>
            <w:r>
              <w:t>47,580.</w:t>
            </w:r>
            <w:r w:rsidR="00C92394">
              <w:t>56</w:t>
            </w:r>
          </w:p>
        </w:tc>
      </w:tr>
      <w:tr w:rsidR="003F25AE" w:rsidRPr="003377A8" w:rsidTr="003377A8">
        <w:tc>
          <w:tcPr>
            <w:tcW w:w="4788" w:type="dxa"/>
          </w:tcPr>
          <w:p w:rsidR="003F25AE" w:rsidRDefault="003F25AE">
            <w:pPr>
              <w:pStyle w:val="DefaultText"/>
            </w:pPr>
            <w:r>
              <w:t>Total Monies</w:t>
            </w:r>
          </w:p>
        </w:tc>
        <w:tc>
          <w:tcPr>
            <w:tcW w:w="1274" w:type="dxa"/>
            <w:tcBorders>
              <w:top w:val="single" w:sz="4" w:space="0" w:color="auto"/>
              <w:bottom w:val="single" w:sz="4" w:space="0" w:color="auto"/>
            </w:tcBorders>
          </w:tcPr>
          <w:p w:rsidR="003F25AE" w:rsidRDefault="00C92394" w:rsidP="003377A8">
            <w:pPr>
              <w:pStyle w:val="DefaultText"/>
              <w:jc w:val="right"/>
            </w:pPr>
            <w:r>
              <w:t>95,495.48</w:t>
            </w:r>
          </w:p>
        </w:tc>
      </w:tr>
    </w:tbl>
    <w:p w:rsidR="00BF3B29" w:rsidRDefault="00BF3B29">
      <w:pPr>
        <w:pStyle w:val="DefaultText"/>
        <w:rPr>
          <w:b/>
          <w:u w:val="single"/>
        </w:rPr>
      </w:pPr>
    </w:p>
    <w:p w:rsidR="00BF3B29" w:rsidRDefault="00BF3B29">
      <w:pPr>
        <w:pStyle w:val="DefaultText"/>
        <w:rPr>
          <w:b/>
          <w:u w:val="single"/>
        </w:rPr>
      </w:pPr>
    </w:p>
    <w:p w:rsidR="005A2921" w:rsidRDefault="005A2921">
      <w:pPr>
        <w:pStyle w:val="DefaultText"/>
      </w:pPr>
      <w:r>
        <w:t>The above cheques</w:t>
      </w:r>
      <w:r w:rsidR="00A84948">
        <w:t xml:space="preserve"> and online payments were authorised</w:t>
      </w:r>
      <w:r>
        <w:t>.</w:t>
      </w:r>
      <w:r w:rsidR="00631328">
        <w:t xml:space="preserve">  Ginny Pitchers has checked the clerk’s bank reconciliation for the financial year end, 31</w:t>
      </w:r>
      <w:r w:rsidR="00631328" w:rsidRPr="00631328">
        <w:rPr>
          <w:vertAlign w:val="superscript"/>
        </w:rPr>
        <w:t>st</w:t>
      </w:r>
      <w:r w:rsidR="00631328">
        <w:t xml:space="preserve"> March 2015.</w:t>
      </w:r>
    </w:p>
    <w:p w:rsidR="008927B9" w:rsidRDefault="008927B9">
      <w:pPr>
        <w:pStyle w:val="DefaultText"/>
        <w:rPr>
          <w:b/>
          <w:u w:val="single"/>
        </w:rPr>
      </w:pPr>
    </w:p>
    <w:p w:rsidR="008927B9" w:rsidRDefault="008927B9" w:rsidP="008927B9">
      <w:pPr>
        <w:pStyle w:val="DefaultText"/>
      </w:pPr>
      <w:r>
        <w:rPr>
          <w:b/>
          <w:u w:val="single"/>
        </w:rPr>
        <w:t>Planning Matters:</w:t>
      </w:r>
    </w:p>
    <w:p w:rsidR="008927B9" w:rsidRDefault="00631328">
      <w:pPr>
        <w:pStyle w:val="DefaultText"/>
        <w:rPr>
          <w:b/>
          <w:u w:val="single"/>
        </w:rPr>
      </w:pPr>
      <w:r>
        <w:t>None.</w:t>
      </w:r>
    </w:p>
    <w:p w:rsidR="006125FC" w:rsidRDefault="006125FC">
      <w:pPr>
        <w:pStyle w:val="DefaultText"/>
      </w:pPr>
    </w:p>
    <w:p w:rsidR="006125FC" w:rsidRDefault="006125FC">
      <w:pPr>
        <w:pStyle w:val="DefaultText"/>
        <w:rPr>
          <w:b/>
          <w:u w:val="single"/>
        </w:rPr>
      </w:pPr>
      <w:r>
        <w:rPr>
          <w:b/>
          <w:u w:val="single"/>
        </w:rPr>
        <w:t>Village Hall and Playing Field:</w:t>
      </w:r>
    </w:p>
    <w:p w:rsidR="006125FC" w:rsidRPr="00631328" w:rsidRDefault="00631328">
      <w:pPr>
        <w:pStyle w:val="DefaultText"/>
      </w:pPr>
      <w:r>
        <w:t>Ginny Pitchers reported on a very successful History Group event, with over 50 people attending.</w:t>
      </w:r>
    </w:p>
    <w:p w:rsidR="006125FC" w:rsidRDefault="006125FC">
      <w:pPr>
        <w:pStyle w:val="DefaultText"/>
        <w:rPr>
          <w:b/>
          <w:u w:val="single"/>
        </w:rPr>
      </w:pPr>
    </w:p>
    <w:p w:rsidR="00DA13F7" w:rsidRDefault="00DA13F7">
      <w:pPr>
        <w:pStyle w:val="DefaultText"/>
        <w:rPr>
          <w:b/>
          <w:u w:val="single"/>
        </w:rPr>
      </w:pPr>
    </w:p>
    <w:p w:rsidR="006125FC" w:rsidRDefault="006125FC">
      <w:pPr>
        <w:pStyle w:val="DefaultText"/>
        <w:rPr>
          <w:b/>
          <w:u w:val="single"/>
        </w:rPr>
      </w:pPr>
      <w:r>
        <w:rPr>
          <w:b/>
          <w:u w:val="single"/>
        </w:rPr>
        <w:t>Boat Dyke and Staithe:</w:t>
      </w:r>
    </w:p>
    <w:p w:rsidR="006125FC" w:rsidRDefault="00DA13F7">
      <w:pPr>
        <w:pStyle w:val="DefaultText"/>
        <w:rPr>
          <w:b/>
          <w:u w:val="single"/>
        </w:rPr>
      </w:pPr>
      <w:r>
        <w:t xml:space="preserve">The councillors reviewed the </w:t>
      </w:r>
      <w:r w:rsidR="00511D54">
        <w:t xml:space="preserve">revised lease, drafted by Nick Hancox, </w:t>
      </w:r>
      <w:r>
        <w:t>following the meeting with the Environment Agency on 12</w:t>
      </w:r>
      <w:r w:rsidRPr="00DA13F7">
        <w:rPr>
          <w:vertAlign w:val="superscript"/>
        </w:rPr>
        <w:t>th</w:t>
      </w:r>
      <w:r>
        <w:t xml:space="preserve"> March. </w:t>
      </w:r>
      <w:r w:rsidR="00511D54">
        <w:t>This</w:t>
      </w:r>
      <w:r>
        <w:t xml:space="preserve"> draft lease</w:t>
      </w:r>
      <w:r w:rsidR="00511D54">
        <w:t xml:space="preserve"> has already been sent to the Environment Agency for their comments.</w:t>
      </w:r>
      <w:r>
        <w:t xml:space="preserve"> This was noted.</w:t>
      </w:r>
    </w:p>
    <w:p w:rsidR="006125FC" w:rsidRDefault="006125FC">
      <w:pPr>
        <w:pStyle w:val="DefaultText"/>
        <w:rPr>
          <w:b/>
          <w:u w:val="single"/>
        </w:rPr>
      </w:pPr>
    </w:p>
    <w:p w:rsidR="006125FC" w:rsidRPr="00767D54" w:rsidRDefault="00DA13F7">
      <w:pPr>
        <w:pStyle w:val="DefaultText"/>
      </w:pPr>
      <w:r>
        <w:t>It was also n</w:t>
      </w:r>
      <w:r w:rsidR="00767D54">
        <w:t>oted that Anne W</w:t>
      </w:r>
      <w:r>
        <w:t>helpton regularly picks up</w:t>
      </w:r>
      <w:r w:rsidR="00767D54">
        <w:t xml:space="preserve"> rubbish l</w:t>
      </w:r>
      <w:r>
        <w:t>eft in the enclosure and puts it in the</w:t>
      </w:r>
      <w:r w:rsidR="00767D54">
        <w:t xml:space="preserve"> skip</w:t>
      </w:r>
      <w:r>
        <w:t xml:space="preserve"> at her boatyard.  The Broads Authority has promised signage to direct people to the skip. It was noted that much of the flytipping is domestic and not boat waste.</w:t>
      </w:r>
    </w:p>
    <w:p w:rsidR="00121E15" w:rsidRDefault="00121E15">
      <w:pPr>
        <w:pStyle w:val="DefaultText"/>
        <w:rPr>
          <w:b/>
          <w:u w:val="single"/>
        </w:rPr>
      </w:pPr>
    </w:p>
    <w:p w:rsidR="00DA13F7" w:rsidRDefault="00DA13F7">
      <w:pPr>
        <w:pStyle w:val="DefaultText"/>
      </w:pPr>
      <w:r>
        <w:t>It has been reported that the sign at the river end of the boat dyke has been obscured by opaque film. This has been reported to the Broads Authority.</w:t>
      </w:r>
    </w:p>
    <w:p w:rsidR="00DA13F7" w:rsidRPr="00DA13F7" w:rsidRDefault="00DA13F7">
      <w:pPr>
        <w:pStyle w:val="DefaultText"/>
      </w:pPr>
    </w:p>
    <w:p w:rsidR="006125FC" w:rsidRDefault="006125FC">
      <w:pPr>
        <w:pStyle w:val="DefaultText"/>
        <w:rPr>
          <w:b/>
          <w:u w:val="single"/>
        </w:rPr>
      </w:pPr>
      <w:r>
        <w:rPr>
          <w:b/>
          <w:u w:val="single"/>
        </w:rPr>
        <w:t>Any Other Business:</w:t>
      </w:r>
    </w:p>
    <w:p w:rsidR="006125FC" w:rsidRDefault="00A84948" w:rsidP="00A84948">
      <w:pPr>
        <w:pStyle w:val="DefaultText"/>
        <w:numPr>
          <w:ilvl w:val="0"/>
          <w:numId w:val="5"/>
        </w:numPr>
        <w:ind w:left="426" w:hanging="426"/>
      </w:pPr>
      <w:r>
        <w:t xml:space="preserve">It was reported that backboard of the </w:t>
      </w:r>
      <w:r w:rsidR="005F2D98">
        <w:t xml:space="preserve">Southend noticeboard </w:t>
      </w:r>
      <w:r>
        <w:t xml:space="preserve">is </w:t>
      </w:r>
      <w:r w:rsidR="005F2D98">
        <w:t>in poor condition</w:t>
      </w:r>
      <w:r>
        <w:t>. Mike Brown kindly offered to investigate longer lasting boards.</w:t>
      </w:r>
    </w:p>
    <w:p w:rsidR="00A84948" w:rsidRDefault="00A84948" w:rsidP="00A84948">
      <w:pPr>
        <w:pStyle w:val="DefaultText"/>
        <w:ind w:left="426"/>
      </w:pPr>
    </w:p>
    <w:p w:rsidR="00A84948" w:rsidRDefault="00A84948" w:rsidP="00A84948">
      <w:pPr>
        <w:pStyle w:val="DefaultText"/>
        <w:numPr>
          <w:ilvl w:val="0"/>
          <w:numId w:val="5"/>
        </w:numPr>
        <w:ind w:left="426" w:hanging="426"/>
      </w:pPr>
      <w:r>
        <w:t>There was some discussion of residents “adopting” a part of the village to collect litter and keep it tidy.</w:t>
      </w:r>
    </w:p>
    <w:p w:rsidR="00A84948" w:rsidRDefault="00A84948" w:rsidP="00A84948">
      <w:pPr>
        <w:pStyle w:val="DefaultText"/>
      </w:pPr>
    </w:p>
    <w:p w:rsidR="00A84948" w:rsidRDefault="00A84948" w:rsidP="00A84948">
      <w:pPr>
        <w:pStyle w:val="DefaultText"/>
        <w:numPr>
          <w:ilvl w:val="0"/>
          <w:numId w:val="5"/>
        </w:numPr>
        <w:ind w:left="426" w:hanging="426"/>
      </w:pPr>
      <w:r>
        <w:t>It was noted that the wall at the end of the garden backing onto the pond is damaged. William Leonard-Morgan offered to speak to the owners.</w:t>
      </w:r>
    </w:p>
    <w:p w:rsidR="00A84948" w:rsidRDefault="00A84948" w:rsidP="00A84948">
      <w:pPr>
        <w:pStyle w:val="DefaultText"/>
      </w:pPr>
    </w:p>
    <w:p w:rsidR="00A84948" w:rsidRDefault="00A84948" w:rsidP="00A84948">
      <w:pPr>
        <w:pStyle w:val="DefaultText"/>
        <w:numPr>
          <w:ilvl w:val="0"/>
          <w:numId w:val="5"/>
        </w:numPr>
        <w:ind w:left="426" w:hanging="426"/>
      </w:pPr>
      <w:r>
        <w:t>It was agreed to consider creating a wildflower conservation area at the churchyard.</w:t>
      </w:r>
    </w:p>
    <w:p w:rsidR="006125FC" w:rsidRDefault="006125FC" w:rsidP="00A84948">
      <w:pPr>
        <w:pStyle w:val="DefaultText"/>
        <w:ind w:left="426" w:hanging="426"/>
      </w:pPr>
    </w:p>
    <w:p w:rsidR="006125FC" w:rsidRDefault="006125FC" w:rsidP="00A84948">
      <w:pPr>
        <w:pStyle w:val="DefaultText"/>
        <w:ind w:left="426" w:hanging="426"/>
        <w:rPr>
          <w:b/>
          <w:u w:val="single"/>
        </w:rPr>
      </w:pPr>
      <w:r>
        <w:t>5.</w:t>
      </w:r>
      <w:r>
        <w:tab/>
        <w:t>The next meeting will be</w:t>
      </w:r>
      <w:r w:rsidR="004934B8">
        <w:t xml:space="preserve"> on Thursday, 14th May</w:t>
      </w:r>
      <w:r w:rsidR="006E6D7A">
        <w:t xml:space="preserve"> 2015</w:t>
      </w:r>
      <w:r w:rsidR="004934B8">
        <w:t>, following the Annual Parish Meeting at 7.30pm</w:t>
      </w:r>
      <w:r>
        <w:t>.</w:t>
      </w:r>
    </w:p>
    <w:p w:rsidR="006125FC" w:rsidRDefault="006125FC">
      <w:pPr>
        <w:pStyle w:val="DefaultText"/>
        <w:rPr>
          <w:b/>
          <w:u w:val="single"/>
        </w:rPr>
      </w:pPr>
    </w:p>
    <w:p w:rsidR="006125FC" w:rsidRDefault="006125FC">
      <w:pPr>
        <w:pStyle w:val="DefaultText"/>
        <w:rPr>
          <w:b/>
          <w:u w:val="single"/>
        </w:rPr>
      </w:pPr>
    </w:p>
    <w:p w:rsidR="00767D54" w:rsidRDefault="00767D54">
      <w:pPr>
        <w:pStyle w:val="DefaultText"/>
        <w:rPr>
          <w:b/>
          <w:u w:val="single"/>
        </w:rPr>
      </w:pPr>
    </w:p>
    <w:p w:rsidR="00767D54" w:rsidRDefault="00767D54">
      <w:pPr>
        <w:pStyle w:val="DefaultText"/>
        <w:rPr>
          <w:b/>
          <w:u w:val="single"/>
        </w:rPr>
      </w:pPr>
    </w:p>
    <w:p w:rsidR="006125FC" w:rsidRDefault="006125FC">
      <w:pPr>
        <w:pStyle w:val="DefaultText"/>
      </w:pPr>
      <w:r>
        <w:t>There being no further business th</w:t>
      </w:r>
      <w:r w:rsidR="00A84948">
        <w:t>e meeting closed at 8.15</w:t>
      </w:r>
      <w:r>
        <w:t xml:space="preserve"> p.m.</w:t>
      </w:r>
    </w:p>
    <w:p w:rsidR="006125FC" w:rsidRDefault="006125FC">
      <w:pPr>
        <w:pStyle w:val="DefaultText"/>
      </w:pPr>
    </w:p>
    <w:p w:rsidR="00A84948" w:rsidRDefault="00A84948">
      <w:pPr>
        <w:pStyle w:val="DefaultText"/>
      </w:pPr>
    </w:p>
    <w:p w:rsidR="00A84948" w:rsidRDefault="00A84948">
      <w:pPr>
        <w:pStyle w:val="DefaultText"/>
      </w:pPr>
    </w:p>
    <w:p w:rsidR="00A84948" w:rsidRDefault="00A84948">
      <w:pPr>
        <w:pStyle w:val="DefaultText"/>
      </w:pPr>
    </w:p>
    <w:p w:rsidR="00A84948" w:rsidRDefault="00A84948">
      <w:pPr>
        <w:pStyle w:val="DefaultText"/>
      </w:pPr>
    </w:p>
    <w:p w:rsidR="006125FC" w:rsidRDefault="006125FC">
      <w:pPr>
        <w:pStyle w:val="DefaultText"/>
      </w:pPr>
    </w:p>
    <w:p w:rsidR="006125FC" w:rsidRDefault="006125FC">
      <w:pPr>
        <w:pStyle w:val="DefaultText"/>
      </w:pPr>
      <w:r>
        <w:t>Signed...........................</w:t>
      </w:r>
      <w:r w:rsidR="004934B8">
        <w:t>..</w:t>
      </w:r>
      <w:r w:rsidR="004934B8">
        <w:tab/>
      </w:r>
      <w:r w:rsidR="004934B8">
        <w:tab/>
      </w:r>
      <w:r w:rsidR="004934B8">
        <w:tab/>
      </w:r>
      <w:r w:rsidR="004934B8">
        <w:tab/>
        <w:t xml:space="preserve">Dated: 14th May </w:t>
      </w:r>
      <w:r w:rsidR="006E6D7A">
        <w:t>2015</w:t>
      </w:r>
      <w:r>
        <w:t>.</w:t>
      </w:r>
    </w:p>
    <w:p w:rsidR="006125FC" w:rsidRDefault="006125FC">
      <w:pPr>
        <w:pStyle w:val="DefaultText"/>
      </w:pPr>
      <w:r>
        <w:tab/>
        <w:t>Chairman</w:t>
      </w:r>
    </w:p>
    <w:p w:rsidR="006125FC" w:rsidRDefault="006125FC">
      <w:pPr>
        <w:pStyle w:val="DefaultText"/>
      </w:pPr>
    </w:p>
    <w:sectPr w:rsidR="006125FC" w:rsidSect="00DE53C5">
      <w:footerReference w:type="default" r:id="rId7"/>
      <w:pgSz w:w="12240" w:h="15840"/>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13" w:rsidRDefault="00562913">
      <w:r>
        <w:separator/>
      </w:r>
    </w:p>
  </w:endnote>
  <w:endnote w:type="continuationSeparator" w:id="0">
    <w:p w:rsidR="00562913" w:rsidRDefault="00562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632"/>
      <w:docPartObj>
        <w:docPartGallery w:val="Page Numbers (Bottom of Page)"/>
        <w:docPartUnique/>
      </w:docPartObj>
    </w:sdtPr>
    <w:sdtContent>
      <w:p w:rsidR="007F7AD3" w:rsidRDefault="007F7AD3">
        <w:pPr>
          <w:pStyle w:val="Footer"/>
          <w:jc w:val="right"/>
        </w:pPr>
        <w:r>
          <w:t xml:space="preserve">09.04.2015        </w:t>
        </w:r>
        <w:fldSimple w:instr=" PAGE   \* MERGEFORMAT ">
          <w:r w:rsidR="00CB4E78">
            <w:rPr>
              <w:noProof/>
            </w:rPr>
            <w:t>3</w:t>
          </w:r>
        </w:fldSimple>
      </w:p>
    </w:sdtContent>
  </w:sdt>
  <w:p w:rsidR="007F7AD3" w:rsidRDefault="007F7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13" w:rsidRDefault="00562913">
      <w:r>
        <w:separator/>
      </w:r>
    </w:p>
  </w:footnote>
  <w:footnote w:type="continuationSeparator" w:id="0">
    <w:p w:rsidR="00562913" w:rsidRDefault="00562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2B4"/>
    <w:multiLevelType w:val="hybridMultilevel"/>
    <w:tmpl w:val="AEA0A5AC"/>
    <w:lvl w:ilvl="0" w:tplc="05784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C48F9"/>
    <w:multiLevelType w:val="hybridMultilevel"/>
    <w:tmpl w:val="0E30B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41240"/>
    <w:multiLevelType w:val="hybridMultilevel"/>
    <w:tmpl w:val="697E5FA6"/>
    <w:lvl w:ilvl="0" w:tplc="2A3833B0">
      <w:start w:val="300"/>
      <w:numFmt w:val="bullet"/>
      <w:lvlText w:val="-"/>
      <w:lvlJc w:val="left"/>
      <w:pPr>
        <w:ind w:left="1185" w:hanging="360"/>
      </w:pPr>
      <w:rPr>
        <w:rFonts w:ascii="Times New Roman" w:eastAsia="Times New Roman" w:hAnsi="Times New Roman" w:cs="Times New Roman"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nsid w:val="2B796A47"/>
    <w:multiLevelType w:val="hybridMultilevel"/>
    <w:tmpl w:val="66CAE06A"/>
    <w:lvl w:ilvl="0" w:tplc="F04E9E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182E05"/>
    <w:multiLevelType w:val="hybridMultilevel"/>
    <w:tmpl w:val="0F9646D0"/>
    <w:lvl w:ilvl="0" w:tplc="4620A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D2BE0"/>
    <w:rsid w:val="00003897"/>
    <w:rsid w:val="00027724"/>
    <w:rsid w:val="0004337F"/>
    <w:rsid w:val="000648DA"/>
    <w:rsid w:val="000C3D69"/>
    <w:rsid w:val="000D2BE0"/>
    <w:rsid w:val="00121E15"/>
    <w:rsid w:val="0014303A"/>
    <w:rsid w:val="001528F9"/>
    <w:rsid w:val="001655B8"/>
    <w:rsid w:val="001A7E78"/>
    <w:rsid w:val="001D4815"/>
    <w:rsid w:val="00210C54"/>
    <w:rsid w:val="00215BC6"/>
    <w:rsid w:val="002204E3"/>
    <w:rsid w:val="002F2254"/>
    <w:rsid w:val="00300C0E"/>
    <w:rsid w:val="003377A8"/>
    <w:rsid w:val="0035538F"/>
    <w:rsid w:val="00383298"/>
    <w:rsid w:val="003C446B"/>
    <w:rsid w:val="003F25AE"/>
    <w:rsid w:val="00410E9A"/>
    <w:rsid w:val="004459DE"/>
    <w:rsid w:val="00490995"/>
    <w:rsid w:val="004934B8"/>
    <w:rsid w:val="004C45BF"/>
    <w:rsid w:val="004C6C4D"/>
    <w:rsid w:val="00511D54"/>
    <w:rsid w:val="00523AB6"/>
    <w:rsid w:val="005410ED"/>
    <w:rsid w:val="005474BD"/>
    <w:rsid w:val="005526AE"/>
    <w:rsid w:val="00556A24"/>
    <w:rsid w:val="00562913"/>
    <w:rsid w:val="005A2921"/>
    <w:rsid w:val="005C2A3C"/>
    <w:rsid w:val="005F2D98"/>
    <w:rsid w:val="006125FC"/>
    <w:rsid w:val="006170AA"/>
    <w:rsid w:val="00624421"/>
    <w:rsid w:val="00631328"/>
    <w:rsid w:val="00673C8C"/>
    <w:rsid w:val="006C2015"/>
    <w:rsid w:val="006D7FEE"/>
    <w:rsid w:val="006E6D7A"/>
    <w:rsid w:val="00715E23"/>
    <w:rsid w:val="007345E7"/>
    <w:rsid w:val="00767D54"/>
    <w:rsid w:val="00773D87"/>
    <w:rsid w:val="0077754C"/>
    <w:rsid w:val="007A0274"/>
    <w:rsid w:val="007A7396"/>
    <w:rsid w:val="007B0909"/>
    <w:rsid w:val="007C578C"/>
    <w:rsid w:val="007F7AD3"/>
    <w:rsid w:val="00813B44"/>
    <w:rsid w:val="00816F50"/>
    <w:rsid w:val="008351E3"/>
    <w:rsid w:val="008779A3"/>
    <w:rsid w:val="00886BAC"/>
    <w:rsid w:val="008927B9"/>
    <w:rsid w:val="008F6ACB"/>
    <w:rsid w:val="0095325F"/>
    <w:rsid w:val="009569DB"/>
    <w:rsid w:val="009906A1"/>
    <w:rsid w:val="009D4FC2"/>
    <w:rsid w:val="00A22D9E"/>
    <w:rsid w:val="00A61C01"/>
    <w:rsid w:val="00A84948"/>
    <w:rsid w:val="00AB2894"/>
    <w:rsid w:val="00B6754B"/>
    <w:rsid w:val="00B9232F"/>
    <w:rsid w:val="00BC5CF4"/>
    <w:rsid w:val="00BF3B29"/>
    <w:rsid w:val="00C24AEE"/>
    <w:rsid w:val="00C75D84"/>
    <w:rsid w:val="00C91CC1"/>
    <w:rsid w:val="00C92394"/>
    <w:rsid w:val="00CB4CA4"/>
    <w:rsid w:val="00CB4E78"/>
    <w:rsid w:val="00CB6EEA"/>
    <w:rsid w:val="00CF0F02"/>
    <w:rsid w:val="00D05F5A"/>
    <w:rsid w:val="00D0712F"/>
    <w:rsid w:val="00D34424"/>
    <w:rsid w:val="00D6014D"/>
    <w:rsid w:val="00D74F05"/>
    <w:rsid w:val="00DA13F7"/>
    <w:rsid w:val="00DC551A"/>
    <w:rsid w:val="00DE4E8A"/>
    <w:rsid w:val="00DE53C5"/>
    <w:rsid w:val="00DF2B26"/>
    <w:rsid w:val="00E16BFF"/>
    <w:rsid w:val="00E35E98"/>
    <w:rsid w:val="00E6637F"/>
    <w:rsid w:val="00E72782"/>
    <w:rsid w:val="00E8444A"/>
    <w:rsid w:val="00ED7889"/>
    <w:rsid w:val="00EE53B6"/>
    <w:rsid w:val="00F02DF0"/>
    <w:rsid w:val="00F86051"/>
    <w:rsid w:val="00FD5EE1"/>
    <w:rsid w:val="00FE4B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C5"/>
    <w:pPr>
      <w:overflowPunct w:val="0"/>
      <w:autoSpaceDE w:val="0"/>
      <w:autoSpaceDN w:val="0"/>
      <w:adjustRightInd w:val="0"/>
      <w:textAlignment w:val="baseline"/>
    </w:pPr>
    <w:rPr>
      <w:lang w:eastAsia="en-US"/>
    </w:rPr>
  </w:style>
  <w:style w:type="paragraph" w:styleId="Heading1">
    <w:name w:val="heading 1"/>
    <w:basedOn w:val="Normal"/>
    <w:qFormat/>
    <w:rsid w:val="00DE53C5"/>
    <w:pPr>
      <w:spacing w:before="280"/>
      <w:outlineLvl w:val="0"/>
    </w:pPr>
    <w:rPr>
      <w:rFonts w:ascii="Arial Black" w:hAnsi="Arial Black"/>
      <w:color w:val="000000"/>
      <w:sz w:val="28"/>
    </w:rPr>
  </w:style>
  <w:style w:type="paragraph" w:styleId="Heading2">
    <w:name w:val="heading 2"/>
    <w:basedOn w:val="Normal"/>
    <w:qFormat/>
    <w:rsid w:val="00DE53C5"/>
    <w:pPr>
      <w:spacing w:before="120"/>
      <w:outlineLvl w:val="1"/>
    </w:pPr>
    <w:rPr>
      <w:rFonts w:ascii="Arial" w:hAnsi="Arial"/>
      <w:b/>
      <w:color w:val="000000"/>
      <w:sz w:val="24"/>
    </w:rPr>
  </w:style>
  <w:style w:type="paragraph" w:styleId="Heading3">
    <w:name w:val="heading 3"/>
    <w:basedOn w:val="Normal"/>
    <w:qFormat/>
    <w:rsid w:val="00DE53C5"/>
    <w:pPr>
      <w:spacing w:before="120"/>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DE53C5"/>
    <w:pPr>
      <w:spacing w:after="240"/>
      <w:jc w:val="center"/>
    </w:pPr>
    <w:rPr>
      <w:rFonts w:ascii="Arial Black" w:hAnsi="Arial Black"/>
      <w:color w:val="000000"/>
      <w:sz w:val="48"/>
    </w:rPr>
  </w:style>
  <w:style w:type="paragraph" w:customStyle="1" w:styleId="OutlineNotIndented">
    <w:name w:val="Outline (Not Indented)"/>
    <w:basedOn w:val="Normal"/>
    <w:rsid w:val="00DE53C5"/>
    <w:rPr>
      <w:color w:val="000000"/>
      <w:sz w:val="24"/>
    </w:rPr>
  </w:style>
  <w:style w:type="paragraph" w:customStyle="1" w:styleId="OutlineIndented">
    <w:name w:val="Outline (Indented)"/>
    <w:basedOn w:val="Normal"/>
    <w:rsid w:val="00DE53C5"/>
    <w:rPr>
      <w:color w:val="000000"/>
      <w:sz w:val="24"/>
    </w:rPr>
  </w:style>
  <w:style w:type="paragraph" w:customStyle="1" w:styleId="TableText">
    <w:name w:val="Table Text"/>
    <w:basedOn w:val="Normal"/>
    <w:rsid w:val="00DE53C5"/>
    <w:pPr>
      <w:jc w:val="right"/>
    </w:pPr>
    <w:rPr>
      <w:color w:val="000000"/>
      <w:sz w:val="24"/>
    </w:rPr>
  </w:style>
  <w:style w:type="paragraph" w:customStyle="1" w:styleId="NumberList">
    <w:name w:val="Number List"/>
    <w:basedOn w:val="Normal"/>
    <w:rsid w:val="00DE53C5"/>
    <w:rPr>
      <w:color w:val="000000"/>
      <w:sz w:val="24"/>
    </w:rPr>
  </w:style>
  <w:style w:type="paragraph" w:customStyle="1" w:styleId="FirstLineIndent">
    <w:name w:val="First Line Indent"/>
    <w:basedOn w:val="Normal"/>
    <w:rsid w:val="00DE53C5"/>
    <w:pPr>
      <w:ind w:firstLine="720"/>
    </w:pPr>
    <w:rPr>
      <w:color w:val="000000"/>
      <w:sz w:val="24"/>
    </w:rPr>
  </w:style>
  <w:style w:type="paragraph" w:customStyle="1" w:styleId="Bullet2">
    <w:name w:val="Bullet 2"/>
    <w:basedOn w:val="Normal"/>
    <w:rsid w:val="00DE53C5"/>
    <w:rPr>
      <w:color w:val="000000"/>
      <w:sz w:val="24"/>
    </w:rPr>
  </w:style>
  <w:style w:type="paragraph" w:customStyle="1" w:styleId="Bullet1">
    <w:name w:val="Bullet 1"/>
    <w:basedOn w:val="Normal"/>
    <w:rsid w:val="00DE53C5"/>
    <w:rPr>
      <w:color w:val="000000"/>
      <w:sz w:val="24"/>
    </w:rPr>
  </w:style>
  <w:style w:type="paragraph" w:customStyle="1" w:styleId="BodySingle">
    <w:name w:val="Body Single"/>
    <w:basedOn w:val="Normal"/>
    <w:rsid w:val="00DE53C5"/>
    <w:rPr>
      <w:color w:val="000000"/>
      <w:sz w:val="24"/>
    </w:rPr>
  </w:style>
  <w:style w:type="paragraph" w:customStyle="1" w:styleId="DefaultText">
    <w:name w:val="Default Text"/>
    <w:basedOn w:val="Normal"/>
    <w:rsid w:val="00DE53C5"/>
    <w:rPr>
      <w:color w:val="000000"/>
      <w:sz w:val="24"/>
    </w:rPr>
  </w:style>
  <w:style w:type="paragraph" w:styleId="ListParagraph">
    <w:name w:val="List Paragraph"/>
    <w:basedOn w:val="Normal"/>
    <w:uiPriority w:val="34"/>
    <w:qFormat/>
    <w:rsid w:val="00631328"/>
    <w:pPr>
      <w:ind w:left="720"/>
      <w:contextualSpacing/>
    </w:pPr>
  </w:style>
  <w:style w:type="paragraph" w:styleId="Header">
    <w:name w:val="header"/>
    <w:basedOn w:val="Normal"/>
    <w:link w:val="HeaderChar"/>
    <w:uiPriority w:val="99"/>
    <w:semiHidden/>
    <w:unhideWhenUsed/>
    <w:rsid w:val="007F7AD3"/>
    <w:pPr>
      <w:tabs>
        <w:tab w:val="center" w:pos="4513"/>
        <w:tab w:val="right" w:pos="9026"/>
      </w:tabs>
    </w:pPr>
  </w:style>
  <w:style w:type="character" w:customStyle="1" w:styleId="HeaderChar">
    <w:name w:val="Header Char"/>
    <w:basedOn w:val="DefaultParagraphFont"/>
    <w:link w:val="Header"/>
    <w:uiPriority w:val="99"/>
    <w:semiHidden/>
    <w:rsid w:val="007F7AD3"/>
    <w:rPr>
      <w:lang w:eastAsia="en-US"/>
    </w:rPr>
  </w:style>
  <w:style w:type="paragraph" w:styleId="Footer">
    <w:name w:val="footer"/>
    <w:basedOn w:val="Normal"/>
    <w:link w:val="FooterChar"/>
    <w:uiPriority w:val="99"/>
    <w:unhideWhenUsed/>
    <w:rsid w:val="007F7AD3"/>
    <w:pPr>
      <w:tabs>
        <w:tab w:val="center" w:pos="4513"/>
        <w:tab w:val="right" w:pos="9026"/>
      </w:tabs>
    </w:pPr>
  </w:style>
  <w:style w:type="character" w:customStyle="1" w:styleId="FooterChar">
    <w:name w:val="Footer Char"/>
    <w:basedOn w:val="DefaultParagraphFont"/>
    <w:link w:val="Footer"/>
    <w:uiPriority w:val="99"/>
    <w:rsid w:val="007F7AD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8</cp:revision>
  <cp:lastPrinted>2015-05-07T08:06:00Z</cp:lastPrinted>
  <dcterms:created xsi:type="dcterms:W3CDTF">2015-04-09T11:53:00Z</dcterms:created>
  <dcterms:modified xsi:type="dcterms:W3CDTF">2015-05-07T08:06:00Z</dcterms:modified>
</cp:coreProperties>
</file>